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2A368" w14:textId="5BCD50E1" w:rsidR="006B390C" w:rsidRDefault="006B390C" w:rsidP="006B390C">
      <w:r>
        <w:t>Ge 21</w:t>
      </w:r>
      <w:r w:rsidR="003329CA">
        <w:t>2</w:t>
      </w:r>
      <w:r>
        <w:tab/>
      </w:r>
      <w:r>
        <w:tab/>
        <w:t xml:space="preserve">Problem Set </w:t>
      </w:r>
      <w:r w:rsidR="003329CA">
        <w:t>7</w:t>
      </w:r>
    </w:p>
    <w:p w14:paraId="6383B1C8" w14:textId="3B29FD1D" w:rsidR="006B390C" w:rsidRDefault="006B390C" w:rsidP="006B390C">
      <w:r>
        <w:t xml:space="preserve">Due </w:t>
      </w:r>
      <w:r w:rsidR="003329CA">
        <w:t>Friday</w:t>
      </w:r>
      <w:r>
        <w:t xml:space="preserve"> </w:t>
      </w:r>
      <w:r w:rsidR="003329CA">
        <w:t>December</w:t>
      </w:r>
      <w:r>
        <w:t xml:space="preserve"> </w:t>
      </w:r>
      <w:r w:rsidR="003329CA">
        <w:t>6,</w:t>
      </w:r>
      <w:r>
        <w:t xml:space="preserve"> 20</w:t>
      </w:r>
      <w:r w:rsidR="00E2208A">
        <w:t>1</w:t>
      </w:r>
      <w:r w:rsidR="003329CA">
        <w:t>9</w:t>
      </w:r>
    </w:p>
    <w:p w14:paraId="4E48402A" w14:textId="77777777" w:rsidR="006B390C" w:rsidRDefault="006B390C" w:rsidP="006B390C"/>
    <w:p w14:paraId="44D2646C" w14:textId="33D7AB70" w:rsidR="006B390C" w:rsidRPr="005547ED" w:rsidRDefault="006B390C" w:rsidP="006B390C">
      <w:pPr>
        <w:pStyle w:val="BodyTextIndent"/>
        <w:rPr>
          <w:b/>
        </w:rPr>
      </w:pPr>
      <w:r w:rsidRPr="005547ED">
        <w:rPr>
          <w:b/>
        </w:rPr>
        <w:t>Binary Systems</w:t>
      </w:r>
    </w:p>
    <w:p w14:paraId="566362EB" w14:textId="77777777" w:rsidR="006B390C" w:rsidRDefault="006B390C" w:rsidP="006B390C">
      <w:pPr>
        <w:pStyle w:val="BodyTextIndent"/>
        <w:ind w:left="0"/>
      </w:pPr>
    </w:p>
    <w:p w14:paraId="3DD6A97D" w14:textId="77777777" w:rsidR="006B390C" w:rsidRDefault="006B390C" w:rsidP="006B390C">
      <w:pPr>
        <w:pStyle w:val="BodyTextIndent"/>
      </w:pPr>
      <w:r>
        <w:t>This is real experimental data (well, fudged a bit to make the interpretation unique and consistent) on the system MgO-SiO</w:t>
      </w:r>
      <w:r w:rsidRPr="006B390C">
        <w:rPr>
          <w:vertAlign w:val="subscript"/>
        </w:rPr>
        <w:t>2</w:t>
      </w:r>
      <w:r>
        <w:t xml:space="preserve"> between 16 and 26 GPa. The experimental configuration consisted of multi-chamber Re capsules such that multiple compositions across the binary could be run at certifiably the same temperature and pressure. Your goal is to work up a complete </w:t>
      </w:r>
      <w:r w:rsidRPr="006B390C">
        <w:rPr>
          <w:i/>
        </w:rPr>
        <w:t>P</w:t>
      </w:r>
      <w:r>
        <w:t>-</w:t>
      </w:r>
      <w:r w:rsidRPr="006B390C">
        <w:rPr>
          <w:i/>
        </w:rPr>
        <w:t>T</w:t>
      </w:r>
      <w:r>
        <w:t>-</w:t>
      </w:r>
      <w:r w:rsidRPr="006B390C">
        <w:rPr>
          <w:i/>
        </w:rPr>
        <w:t>X</w:t>
      </w:r>
      <w:r>
        <w:t xml:space="preserve"> description of phase relations in this system within the studied region of </w:t>
      </w:r>
      <w:r w:rsidRPr="006B390C">
        <w:rPr>
          <w:i/>
        </w:rPr>
        <w:t>P</w:t>
      </w:r>
      <w:r>
        <w:t>-</w:t>
      </w:r>
      <w:r w:rsidRPr="006B390C">
        <w:rPr>
          <w:i/>
        </w:rPr>
        <w:t>T</w:t>
      </w:r>
      <w:r>
        <w:t xml:space="preserve"> space (say, 14 to 28 GPa and 2400 to 3000 K). </w:t>
      </w:r>
    </w:p>
    <w:p w14:paraId="6F30EB43" w14:textId="77777777" w:rsidR="006B390C" w:rsidRDefault="006B390C" w:rsidP="006B390C">
      <w:pPr>
        <w:pStyle w:val="BodyTextIndent"/>
      </w:pPr>
    </w:p>
    <w:p w14:paraId="42BE54CA" w14:textId="77777777" w:rsidR="006B390C" w:rsidRDefault="006B390C" w:rsidP="006B390C">
      <w:pPr>
        <w:pStyle w:val="BodyTextIndent"/>
        <w:numPr>
          <w:ilvl w:val="0"/>
          <w:numId w:val="9"/>
        </w:numPr>
      </w:pPr>
      <w:r>
        <w:t xml:space="preserve">Begin by constructing, as accurately as you can, isobaric </w:t>
      </w:r>
      <w:r w:rsidRPr="006B390C">
        <w:rPr>
          <w:i/>
        </w:rPr>
        <w:t>T</w:t>
      </w:r>
      <w:r>
        <w:t>-</w:t>
      </w:r>
      <w:r w:rsidRPr="006B390C">
        <w:rPr>
          <w:i/>
        </w:rPr>
        <w:t>X</w:t>
      </w:r>
      <w:r>
        <w:t xml:space="preserve"> sections at 16, 20, 23, 24, and 26 GPa</w:t>
      </w:r>
    </w:p>
    <w:p w14:paraId="1AC78F25" w14:textId="77777777" w:rsidR="006B390C" w:rsidRDefault="006B390C" w:rsidP="006B390C">
      <w:pPr>
        <w:pStyle w:val="BodyTextIndent"/>
        <w:numPr>
          <w:ilvl w:val="0"/>
          <w:numId w:val="10"/>
        </w:numPr>
        <w:ind w:left="1530"/>
      </w:pPr>
      <w:r>
        <w:t xml:space="preserve">the </w:t>
      </w:r>
      <w:r w:rsidRPr="006B390C">
        <w:rPr>
          <w:i/>
        </w:rPr>
        <w:t>X</w:t>
      </w:r>
      <w:r>
        <w:t>-axis should be mole fraction SiO</w:t>
      </w:r>
      <w:r w:rsidRPr="006B390C">
        <w:rPr>
          <w:vertAlign w:val="subscript"/>
        </w:rPr>
        <w:t>2</w:t>
      </w:r>
      <w:r>
        <w:t xml:space="preserve"> running from 0 to 1.</w:t>
      </w:r>
    </w:p>
    <w:p w14:paraId="74CB3609" w14:textId="77777777" w:rsidR="006B390C" w:rsidRDefault="006B390C" w:rsidP="006B390C">
      <w:pPr>
        <w:pStyle w:val="BodyTextIndent"/>
        <w:numPr>
          <w:ilvl w:val="0"/>
          <w:numId w:val="10"/>
        </w:numPr>
        <w:ind w:left="1530"/>
      </w:pPr>
      <w:r>
        <w:t>Assume that the melting points of periclase and stishovite are at &gt; 3000 K at all these pressures, so the liquidus goes off the top of your diagrams at both ends.</w:t>
      </w:r>
    </w:p>
    <w:p w14:paraId="32E4EEEE" w14:textId="77777777" w:rsidR="006B390C" w:rsidRDefault="006B390C" w:rsidP="006B390C">
      <w:pPr>
        <w:pStyle w:val="BodyTextIndent"/>
        <w:numPr>
          <w:ilvl w:val="0"/>
          <w:numId w:val="10"/>
        </w:numPr>
        <w:ind w:left="1530"/>
      </w:pPr>
      <w:r>
        <w:t>The solid phase compositions are fixed: Periclase (Pc) is MgO. Anhydrous phase B (</w:t>
      </w:r>
      <w:proofErr w:type="spellStart"/>
      <w:r>
        <w:t>AnhB</w:t>
      </w:r>
      <w:proofErr w:type="spellEnd"/>
      <w:r>
        <w:t>) is Mg</w:t>
      </w:r>
      <w:r w:rsidRPr="006B390C">
        <w:rPr>
          <w:vertAlign w:val="subscript"/>
        </w:rPr>
        <w:t>14</w:t>
      </w:r>
      <w:r>
        <w:t>Si</w:t>
      </w:r>
      <w:r w:rsidRPr="006B390C">
        <w:rPr>
          <w:vertAlign w:val="subscript"/>
        </w:rPr>
        <w:t>5</w:t>
      </w:r>
      <w:r>
        <w:t>O</w:t>
      </w:r>
      <w:r w:rsidRPr="006B390C">
        <w:rPr>
          <w:vertAlign w:val="subscript"/>
        </w:rPr>
        <w:t>24</w:t>
      </w:r>
      <w:r>
        <w:t>. Ringwoodite (</w:t>
      </w:r>
      <w:proofErr w:type="spellStart"/>
      <w:r>
        <w:t>Rw</w:t>
      </w:r>
      <w:proofErr w:type="spellEnd"/>
      <w:r>
        <w:t>) and Wadsleyite (Wd) are both Mg</w:t>
      </w:r>
      <w:r w:rsidRPr="006B390C">
        <w:rPr>
          <w:vertAlign w:val="subscript"/>
        </w:rPr>
        <w:t>2</w:t>
      </w:r>
      <w:r>
        <w:t>SiO</w:t>
      </w:r>
      <w:r w:rsidRPr="006B390C">
        <w:rPr>
          <w:vertAlign w:val="subscript"/>
        </w:rPr>
        <w:t>4</w:t>
      </w:r>
      <w:r>
        <w:t>. Majorite (</w:t>
      </w:r>
      <w:proofErr w:type="spellStart"/>
      <w:r>
        <w:t>Mj</w:t>
      </w:r>
      <w:proofErr w:type="spellEnd"/>
      <w:r>
        <w:t>) and Perovskite (Pv) are both MgSiO</w:t>
      </w:r>
      <w:r w:rsidRPr="006B390C">
        <w:rPr>
          <w:vertAlign w:val="subscript"/>
        </w:rPr>
        <w:t>3</w:t>
      </w:r>
      <w:r>
        <w:t>. Stishovite (St) is SiO</w:t>
      </w:r>
      <w:r w:rsidRPr="006B390C">
        <w:rPr>
          <w:vertAlign w:val="subscript"/>
        </w:rPr>
        <w:t>2</w:t>
      </w:r>
      <w:r>
        <w:t>.</w:t>
      </w:r>
    </w:p>
    <w:p w14:paraId="13AEFD73" w14:textId="73D8AFEA" w:rsidR="006B390C" w:rsidRDefault="006B390C" w:rsidP="006B390C">
      <w:pPr>
        <w:pStyle w:val="BodyTextIndent"/>
        <w:numPr>
          <w:ilvl w:val="0"/>
          <w:numId w:val="10"/>
        </w:numPr>
        <w:ind w:left="1530"/>
      </w:pPr>
      <w:r>
        <w:t xml:space="preserve">The locations of some univariant reactions are bounded but not specified by the data. You should allow yourself to possibly adjust these later once you see how the </w:t>
      </w:r>
      <w:r w:rsidRPr="006B390C">
        <w:rPr>
          <w:i/>
        </w:rPr>
        <w:t>P</w:t>
      </w:r>
      <w:r>
        <w:t>-</w:t>
      </w:r>
      <w:r w:rsidRPr="006B390C">
        <w:rPr>
          <w:i/>
        </w:rPr>
        <w:t>T</w:t>
      </w:r>
      <w:r>
        <w:t xml:space="preserve"> diagram works up. So, work in pencil or on a computer screen.</w:t>
      </w:r>
    </w:p>
    <w:p w14:paraId="5AE1A81B" w14:textId="20C7EC95" w:rsidR="003329CA" w:rsidRDefault="003329CA" w:rsidP="006B390C">
      <w:pPr>
        <w:pStyle w:val="BodyTextIndent"/>
        <w:numPr>
          <w:ilvl w:val="0"/>
          <w:numId w:val="10"/>
        </w:numPr>
        <w:ind w:left="1530"/>
      </w:pPr>
      <w:r>
        <w:t>Keep in mind that anytime the sequence of stable phases across the diagram changes in any way, there must be a univariant reaction separating the different assemblages.</w:t>
      </w:r>
    </w:p>
    <w:p w14:paraId="3B3DE837" w14:textId="77777777" w:rsidR="006B390C" w:rsidRDefault="006B390C" w:rsidP="006B390C">
      <w:pPr>
        <w:pStyle w:val="BodyTextIndent"/>
      </w:pPr>
    </w:p>
    <w:p w14:paraId="51024BBD" w14:textId="6516BC91" w:rsidR="006B390C" w:rsidRDefault="006B390C" w:rsidP="008C047F">
      <w:pPr>
        <w:pStyle w:val="BodyTextIndent"/>
        <w:numPr>
          <w:ilvl w:val="0"/>
          <w:numId w:val="9"/>
        </w:numPr>
      </w:pPr>
      <w:r>
        <w:t xml:space="preserve">Now construct a </w:t>
      </w:r>
      <w:r w:rsidRPr="006B390C">
        <w:rPr>
          <w:i/>
        </w:rPr>
        <w:t>P</w:t>
      </w:r>
      <w:r>
        <w:t>-</w:t>
      </w:r>
      <w:r w:rsidRPr="006B390C">
        <w:rPr>
          <w:i/>
        </w:rPr>
        <w:t>T</w:t>
      </w:r>
      <w:r>
        <w:t xml:space="preserve"> projection, showing all univariant reactions that occur within the </w:t>
      </w:r>
      <w:r w:rsidRPr="006B390C">
        <w:rPr>
          <w:i/>
        </w:rPr>
        <w:t>P</w:t>
      </w:r>
      <w:r>
        <w:t>-</w:t>
      </w:r>
      <w:r w:rsidRPr="006B390C">
        <w:rPr>
          <w:i/>
        </w:rPr>
        <w:t>T</w:t>
      </w:r>
      <w:r>
        <w:t xml:space="preserve"> space defined above, and the invariant points where they meet. </w:t>
      </w:r>
      <w:r w:rsidR="00C21B32">
        <w:t xml:space="preserve">Adjust temperatures of univariant reactions at the experimental pressures so that they are smooth curves in </w:t>
      </w:r>
      <w:r w:rsidR="00C21B32" w:rsidRPr="00C21B32">
        <w:rPr>
          <w:i/>
        </w:rPr>
        <w:t>P</w:t>
      </w:r>
      <w:r w:rsidR="00C21B32">
        <w:t>-</w:t>
      </w:r>
      <w:r w:rsidR="00C21B32" w:rsidRPr="00C21B32">
        <w:rPr>
          <w:i/>
        </w:rPr>
        <w:t>T</w:t>
      </w:r>
      <w:r w:rsidR="00C21B32">
        <w:t xml:space="preserve"> space. </w:t>
      </w:r>
      <w:r w:rsidR="00815F0D">
        <w:t xml:space="preserve">Label each univariant curve with the involved phases or phase assemblages on the sides where they are stable. Label the </w:t>
      </w:r>
      <w:proofErr w:type="spellStart"/>
      <w:r w:rsidR="00815F0D">
        <w:t>divariant</w:t>
      </w:r>
      <w:proofErr w:type="spellEnd"/>
      <w:r w:rsidR="00815F0D">
        <w:t xml:space="preserve"> fields by the sequence of one- and two-phase fields observed there as X</w:t>
      </w:r>
      <w:r w:rsidR="00815F0D" w:rsidRPr="00815F0D">
        <w:rPr>
          <w:vertAlign w:val="subscript"/>
        </w:rPr>
        <w:t>SiO2</w:t>
      </w:r>
      <w:r w:rsidR="00815F0D">
        <w:t xml:space="preserve"> goes from 0 to 1. Finally, provide a blow-up of each invariant point (hint, there are </w:t>
      </w:r>
      <w:r w:rsidR="00472B3E">
        <w:t>7</w:t>
      </w:r>
      <w:r w:rsidR="00815F0D">
        <w:t xml:space="preserve"> of them</w:t>
      </w:r>
      <w:r w:rsidR="00233E8B">
        <w:t>, I claim</w:t>
      </w:r>
      <w:r w:rsidR="00815F0D">
        <w:t xml:space="preserve">) large enough to see that the </w:t>
      </w:r>
      <w:proofErr w:type="spellStart"/>
      <w:r w:rsidR="00815F0D">
        <w:t>S</w:t>
      </w:r>
      <w:r w:rsidR="00334C64">
        <w:t>c</w:t>
      </w:r>
      <w:r w:rsidR="00815F0D">
        <w:t>hreinemaker’s</w:t>
      </w:r>
      <w:proofErr w:type="spellEnd"/>
      <w:r w:rsidR="00815F0D">
        <w:t xml:space="preserve"> relations and metastable extensions there are correct.</w:t>
      </w:r>
      <w:r w:rsidR="003329CA">
        <w:t xml:space="preserve"> Two of the invariant points involve four phases that are all different in composition. The other </w:t>
      </w:r>
      <w:r w:rsidR="00233E8B">
        <w:t>five</w:t>
      </w:r>
      <w:bookmarkStart w:id="0" w:name="_GoBack"/>
      <w:bookmarkEnd w:id="0"/>
      <w:r w:rsidR="003329CA">
        <w:t xml:space="preserve"> all involve a reaction between two phases of equal composition, which affects their appearance in P-T space.</w:t>
      </w:r>
    </w:p>
    <w:p w14:paraId="7EADB538" w14:textId="77777777" w:rsidR="003329CA" w:rsidRDefault="003329CA" w:rsidP="003329CA">
      <w:pPr>
        <w:pStyle w:val="BodyTextIndent"/>
        <w:ind w:left="1080"/>
      </w:pPr>
    </w:p>
    <w:p w14:paraId="60206F9E" w14:textId="77777777" w:rsidR="008C047F" w:rsidRDefault="008C047F" w:rsidP="008C047F">
      <w:pPr>
        <w:pStyle w:val="BodyTextIndent"/>
        <w:ind w:left="1080"/>
      </w:pPr>
    </w:p>
    <w:p w14:paraId="5766F80F" w14:textId="77777777" w:rsidR="00C21B32" w:rsidRDefault="00C21B32" w:rsidP="008C047F">
      <w:pPr>
        <w:pStyle w:val="BodyTextIndent"/>
        <w:ind w:left="1080"/>
      </w:pPr>
    </w:p>
    <w:p w14:paraId="2447345D" w14:textId="77777777" w:rsidR="008C047F" w:rsidRDefault="00851007" w:rsidP="008C047F">
      <w:pPr>
        <w:pStyle w:val="BodyTextIndent"/>
        <w:ind w:left="1080"/>
      </w:pPr>
      <w:r>
        <w:lastRenderedPageBreak/>
        <w:t>Here are the data: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937"/>
        <w:gridCol w:w="1649"/>
        <w:gridCol w:w="1530"/>
        <w:gridCol w:w="1779"/>
      </w:tblGrid>
      <w:tr w:rsidR="00851007" w:rsidRPr="00851007" w14:paraId="5897BECE" w14:textId="77777777" w:rsidTr="00A3638A">
        <w:tc>
          <w:tcPr>
            <w:tcW w:w="1032" w:type="dxa"/>
            <w:shd w:val="clear" w:color="auto" w:fill="auto"/>
          </w:tcPr>
          <w:p w14:paraId="5AB09040" w14:textId="77777777" w:rsidR="00851007" w:rsidRPr="00851007" w:rsidRDefault="00851007" w:rsidP="00A3638A">
            <w:pPr>
              <w:pStyle w:val="BodyTextIndent"/>
              <w:ind w:left="0"/>
            </w:pPr>
            <w:r w:rsidRPr="00851007">
              <w:t>P</w:t>
            </w:r>
            <w:r>
              <w:t xml:space="preserve"> </w:t>
            </w:r>
            <w:r w:rsidRPr="00851007">
              <w:t>(GPa)</w:t>
            </w:r>
          </w:p>
        </w:tc>
        <w:tc>
          <w:tcPr>
            <w:tcW w:w="937" w:type="dxa"/>
            <w:shd w:val="clear" w:color="auto" w:fill="auto"/>
          </w:tcPr>
          <w:p w14:paraId="429AD77E" w14:textId="77777777" w:rsidR="00851007" w:rsidRPr="00851007" w:rsidRDefault="00851007" w:rsidP="00A3638A">
            <w:pPr>
              <w:pStyle w:val="BodyTextIndent"/>
              <w:ind w:left="0"/>
            </w:pPr>
            <w:r w:rsidRPr="00851007">
              <w:t>T</w:t>
            </w:r>
            <w:r>
              <w:t xml:space="preserve"> </w:t>
            </w:r>
            <w:r w:rsidRPr="00851007">
              <w:t>(K)</w:t>
            </w:r>
          </w:p>
        </w:tc>
        <w:tc>
          <w:tcPr>
            <w:tcW w:w="1649" w:type="dxa"/>
            <w:shd w:val="clear" w:color="auto" w:fill="auto"/>
          </w:tcPr>
          <w:p w14:paraId="4949DA5C" w14:textId="77777777" w:rsidR="00851007" w:rsidRPr="00851007" w:rsidRDefault="00851007" w:rsidP="00A3638A">
            <w:pPr>
              <w:pStyle w:val="BodyTextIndent"/>
              <w:ind w:left="0"/>
            </w:pPr>
            <w:r>
              <w:t>X</w:t>
            </w:r>
            <w:r w:rsidRPr="00A3638A">
              <w:rPr>
                <w:vertAlign w:val="subscript"/>
              </w:rPr>
              <w:t>SiO2</w:t>
            </w:r>
            <w:r w:rsidRPr="00A3638A">
              <w:rPr>
                <w:vertAlign w:val="superscript"/>
              </w:rPr>
              <w:t>Bulk</w:t>
            </w:r>
            <w:r>
              <w:t xml:space="preserve"> </w:t>
            </w:r>
            <w:r w:rsidRPr="00A3638A">
              <w:rPr>
                <w:sz w:val="18"/>
                <w:szCs w:val="18"/>
              </w:rPr>
              <w:t>(mol %)</w:t>
            </w:r>
          </w:p>
        </w:tc>
        <w:tc>
          <w:tcPr>
            <w:tcW w:w="1530" w:type="dxa"/>
            <w:shd w:val="clear" w:color="auto" w:fill="auto"/>
          </w:tcPr>
          <w:p w14:paraId="314AD03E" w14:textId="77777777" w:rsidR="00851007" w:rsidRPr="00851007" w:rsidRDefault="00851007" w:rsidP="00A3638A">
            <w:pPr>
              <w:pStyle w:val="BodyTextIndent"/>
              <w:ind w:left="0"/>
            </w:pPr>
            <w:r w:rsidRPr="00851007">
              <w:t>Phases</w:t>
            </w:r>
          </w:p>
        </w:tc>
        <w:tc>
          <w:tcPr>
            <w:tcW w:w="1779" w:type="dxa"/>
            <w:shd w:val="clear" w:color="auto" w:fill="auto"/>
          </w:tcPr>
          <w:p w14:paraId="1E23A5AE" w14:textId="77777777" w:rsidR="00851007" w:rsidRPr="00D529BA" w:rsidRDefault="00851007" w:rsidP="00A3638A">
            <w:pPr>
              <w:pStyle w:val="BodyTextIndent"/>
              <w:ind w:left="0"/>
            </w:pPr>
            <w:r w:rsidRPr="00851007">
              <w:t>X</w:t>
            </w:r>
            <w:r w:rsidRPr="00A3638A">
              <w:rPr>
                <w:vertAlign w:val="subscript"/>
              </w:rPr>
              <w:t>SiO2</w:t>
            </w:r>
            <w:r w:rsidRPr="00A3638A">
              <w:rPr>
                <w:vertAlign w:val="superscript"/>
              </w:rPr>
              <w:t>Liquid</w:t>
            </w:r>
            <w:r>
              <w:t xml:space="preserve"> </w:t>
            </w:r>
            <w:r w:rsidRPr="00A3638A">
              <w:rPr>
                <w:sz w:val="18"/>
                <w:szCs w:val="18"/>
              </w:rPr>
              <w:t>(mol %)</w:t>
            </w:r>
          </w:p>
        </w:tc>
      </w:tr>
      <w:tr w:rsidR="00851007" w:rsidRPr="00D529BA" w14:paraId="730C06D8" w14:textId="77777777" w:rsidTr="00A3638A">
        <w:tc>
          <w:tcPr>
            <w:tcW w:w="1032" w:type="dxa"/>
            <w:shd w:val="clear" w:color="auto" w:fill="auto"/>
          </w:tcPr>
          <w:p w14:paraId="507FC053" w14:textId="77777777" w:rsidR="00851007" w:rsidRPr="00851007" w:rsidRDefault="00851007" w:rsidP="00A3638A">
            <w:pPr>
              <w:pStyle w:val="BodyTextIndent"/>
              <w:ind w:left="0"/>
            </w:pPr>
            <w:r>
              <w:t>16</w:t>
            </w:r>
          </w:p>
        </w:tc>
        <w:tc>
          <w:tcPr>
            <w:tcW w:w="937" w:type="dxa"/>
            <w:shd w:val="clear" w:color="auto" w:fill="auto"/>
          </w:tcPr>
          <w:p w14:paraId="500201AC" w14:textId="77777777" w:rsidR="00851007" w:rsidRPr="00D529BA" w:rsidRDefault="00851007" w:rsidP="00A3638A">
            <w:pPr>
              <w:pStyle w:val="BodyTextIndent"/>
              <w:ind w:left="0"/>
            </w:pPr>
            <w:r>
              <w:t>2533</w:t>
            </w:r>
          </w:p>
        </w:tc>
        <w:tc>
          <w:tcPr>
            <w:tcW w:w="1649" w:type="dxa"/>
            <w:shd w:val="clear" w:color="auto" w:fill="auto"/>
          </w:tcPr>
          <w:p w14:paraId="7807154C" w14:textId="77777777" w:rsidR="00851007" w:rsidRDefault="00851007" w:rsidP="00A3638A">
            <w:pPr>
              <w:pStyle w:val="BodyTextIndent"/>
              <w:ind w:left="0"/>
            </w:pPr>
            <w:r>
              <w:t>62.5</w:t>
            </w:r>
          </w:p>
        </w:tc>
        <w:tc>
          <w:tcPr>
            <w:tcW w:w="1530" w:type="dxa"/>
            <w:shd w:val="clear" w:color="auto" w:fill="auto"/>
          </w:tcPr>
          <w:p w14:paraId="42C90171" w14:textId="77777777" w:rsidR="00851007" w:rsidRPr="00D529BA" w:rsidRDefault="00851007" w:rsidP="00A3638A">
            <w:pPr>
              <w:pStyle w:val="BodyTextIndent"/>
              <w:ind w:left="0"/>
            </w:pPr>
            <w:proofErr w:type="spellStart"/>
            <w:r>
              <w:t>Mj</w:t>
            </w:r>
            <w:proofErr w:type="spellEnd"/>
            <w:r>
              <w:t xml:space="preserve"> + St</w:t>
            </w:r>
          </w:p>
        </w:tc>
        <w:tc>
          <w:tcPr>
            <w:tcW w:w="1779" w:type="dxa"/>
            <w:shd w:val="clear" w:color="auto" w:fill="auto"/>
          </w:tcPr>
          <w:p w14:paraId="34491734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851007" w:rsidRPr="00D529BA" w14:paraId="3B42178D" w14:textId="77777777" w:rsidTr="00A3638A">
        <w:tc>
          <w:tcPr>
            <w:tcW w:w="1032" w:type="dxa"/>
            <w:shd w:val="clear" w:color="auto" w:fill="auto"/>
          </w:tcPr>
          <w:p w14:paraId="2F6F8E52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65B3B162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9A8F563" w14:textId="77777777" w:rsidR="00851007" w:rsidRDefault="00851007" w:rsidP="00A3638A">
            <w:pPr>
              <w:pStyle w:val="BodyTextIndent"/>
              <w:ind w:left="0"/>
            </w:pPr>
            <w:r>
              <w:t>50.0</w:t>
            </w:r>
          </w:p>
        </w:tc>
        <w:tc>
          <w:tcPr>
            <w:tcW w:w="1530" w:type="dxa"/>
            <w:shd w:val="clear" w:color="auto" w:fill="auto"/>
          </w:tcPr>
          <w:p w14:paraId="21DAA950" w14:textId="77777777" w:rsidR="00851007" w:rsidRDefault="00851007" w:rsidP="00A3638A">
            <w:pPr>
              <w:pStyle w:val="BodyTextIndent"/>
              <w:ind w:left="0"/>
            </w:pPr>
            <w:proofErr w:type="spellStart"/>
            <w:r>
              <w:t>Mj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5C9E2D70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851007" w:rsidRPr="00D529BA" w14:paraId="14A8C7CB" w14:textId="77777777" w:rsidTr="00A3638A">
        <w:tc>
          <w:tcPr>
            <w:tcW w:w="1032" w:type="dxa"/>
            <w:shd w:val="clear" w:color="auto" w:fill="auto"/>
          </w:tcPr>
          <w:p w14:paraId="718E4B58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7AED67FA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00BAC927" w14:textId="77777777" w:rsidR="00851007" w:rsidRDefault="00851007" w:rsidP="00A3638A">
            <w:pPr>
              <w:pStyle w:val="BodyTextIndent"/>
              <w:ind w:left="0"/>
            </w:pPr>
            <w:r>
              <w:t>45.8</w:t>
            </w:r>
          </w:p>
        </w:tc>
        <w:tc>
          <w:tcPr>
            <w:tcW w:w="1530" w:type="dxa"/>
            <w:shd w:val="clear" w:color="auto" w:fill="auto"/>
          </w:tcPr>
          <w:p w14:paraId="18C37CDE" w14:textId="77777777" w:rsidR="00851007" w:rsidRDefault="00851007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</w:t>
            </w:r>
            <w:proofErr w:type="spellStart"/>
            <w:r>
              <w:t>Mj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1E99FDC2" w14:textId="77777777" w:rsidR="00851007" w:rsidRPr="00D529BA" w:rsidRDefault="00851007" w:rsidP="00A3638A">
            <w:pPr>
              <w:pStyle w:val="BodyTextIndent"/>
              <w:ind w:left="0"/>
            </w:pPr>
            <w:r>
              <w:t>44.7</w:t>
            </w:r>
          </w:p>
        </w:tc>
      </w:tr>
      <w:tr w:rsidR="00851007" w:rsidRPr="00D529BA" w14:paraId="74953146" w14:textId="77777777" w:rsidTr="00A3638A">
        <w:tc>
          <w:tcPr>
            <w:tcW w:w="1032" w:type="dxa"/>
            <w:shd w:val="clear" w:color="auto" w:fill="auto"/>
          </w:tcPr>
          <w:p w14:paraId="2A057D71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FAA2D35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2E952196" w14:textId="77777777" w:rsidR="00851007" w:rsidRDefault="00851007" w:rsidP="00A3638A">
            <w:pPr>
              <w:pStyle w:val="BodyTextIndent"/>
              <w:ind w:left="0"/>
            </w:pPr>
            <w:r>
              <w:t>41.7</w:t>
            </w:r>
          </w:p>
        </w:tc>
        <w:tc>
          <w:tcPr>
            <w:tcW w:w="1530" w:type="dxa"/>
            <w:shd w:val="clear" w:color="auto" w:fill="auto"/>
          </w:tcPr>
          <w:p w14:paraId="2A3632BA" w14:textId="410480E1" w:rsidR="00851007" w:rsidRDefault="00D17338" w:rsidP="00A3638A">
            <w:pPr>
              <w:pStyle w:val="BodyTextIndent"/>
              <w:ind w:left="0"/>
            </w:pPr>
            <w:r>
              <w:t xml:space="preserve">Wd + </w:t>
            </w:r>
            <w:proofErr w:type="spellStart"/>
            <w:r w:rsidR="00851007"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7C44C061" w14:textId="77777777" w:rsidR="00851007" w:rsidRPr="00D529BA" w:rsidRDefault="00851007" w:rsidP="00A3638A">
            <w:pPr>
              <w:pStyle w:val="BodyTextIndent"/>
              <w:ind w:left="0"/>
            </w:pPr>
            <w:r>
              <w:t>44.5</w:t>
            </w:r>
          </w:p>
        </w:tc>
      </w:tr>
      <w:tr w:rsidR="00851007" w:rsidRPr="00D529BA" w14:paraId="735E2E32" w14:textId="77777777" w:rsidTr="00A3638A">
        <w:tc>
          <w:tcPr>
            <w:tcW w:w="1032" w:type="dxa"/>
            <w:shd w:val="clear" w:color="auto" w:fill="auto"/>
          </w:tcPr>
          <w:p w14:paraId="1A903F8C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AE28DBD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064681F" w14:textId="77777777" w:rsidR="00851007" w:rsidRDefault="00851007" w:rsidP="00A3638A">
            <w:pPr>
              <w:pStyle w:val="BodyTextIndent"/>
              <w:ind w:left="0"/>
            </w:pPr>
            <w:r>
              <w:t>15.0</w:t>
            </w:r>
          </w:p>
        </w:tc>
        <w:tc>
          <w:tcPr>
            <w:tcW w:w="1530" w:type="dxa"/>
            <w:shd w:val="clear" w:color="auto" w:fill="auto"/>
          </w:tcPr>
          <w:p w14:paraId="36FB4CA5" w14:textId="77777777" w:rsidR="00851007" w:rsidRDefault="00851007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AnhB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61B8388C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851007" w:rsidRPr="00D529BA" w14:paraId="7F82D7C1" w14:textId="77777777" w:rsidTr="00A3638A">
        <w:tc>
          <w:tcPr>
            <w:tcW w:w="1032" w:type="dxa"/>
            <w:shd w:val="clear" w:color="auto" w:fill="auto"/>
          </w:tcPr>
          <w:p w14:paraId="7F1F1E1C" w14:textId="77777777" w:rsidR="00851007" w:rsidRDefault="00851007" w:rsidP="00A3638A">
            <w:pPr>
              <w:pStyle w:val="BodyTextIndent"/>
              <w:ind w:left="0"/>
            </w:pPr>
            <w:r>
              <w:t>16</w:t>
            </w:r>
          </w:p>
        </w:tc>
        <w:tc>
          <w:tcPr>
            <w:tcW w:w="937" w:type="dxa"/>
            <w:shd w:val="clear" w:color="auto" w:fill="auto"/>
          </w:tcPr>
          <w:p w14:paraId="67D31261" w14:textId="77777777" w:rsidR="00851007" w:rsidRDefault="00851007" w:rsidP="00A3638A">
            <w:pPr>
              <w:pStyle w:val="BodyTextIndent"/>
              <w:ind w:left="0"/>
            </w:pPr>
            <w:r>
              <w:t>2593</w:t>
            </w:r>
          </w:p>
        </w:tc>
        <w:tc>
          <w:tcPr>
            <w:tcW w:w="1649" w:type="dxa"/>
            <w:shd w:val="clear" w:color="auto" w:fill="auto"/>
          </w:tcPr>
          <w:p w14:paraId="2774F6F8" w14:textId="77777777" w:rsidR="00851007" w:rsidRDefault="00851007" w:rsidP="00A3638A">
            <w:pPr>
              <w:pStyle w:val="BodyTextIndent"/>
              <w:ind w:left="0"/>
            </w:pPr>
            <w:r>
              <w:t>100.0</w:t>
            </w:r>
          </w:p>
        </w:tc>
        <w:tc>
          <w:tcPr>
            <w:tcW w:w="1530" w:type="dxa"/>
            <w:shd w:val="clear" w:color="auto" w:fill="auto"/>
          </w:tcPr>
          <w:p w14:paraId="4D3358DE" w14:textId="77777777" w:rsidR="00851007" w:rsidRDefault="00851007" w:rsidP="00A3638A">
            <w:pPr>
              <w:pStyle w:val="BodyTextIndent"/>
              <w:ind w:left="0"/>
            </w:pPr>
            <w:r>
              <w:t>St</w:t>
            </w:r>
          </w:p>
        </w:tc>
        <w:tc>
          <w:tcPr>
            <w:tcW w:w="1779" w:type="dxa"/>
            <w:shd w:val="clear" w:color="auto" w:fill="auto"/>
          </w:tcPr>
          <w:p w14:paraId="45E50F25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851007" w:rsidRPr="00D529BA" w14:paraId="55CC3D90" w14:textId="77777777" w:rsidTr="00A3638A">
        <w:tc>
          <w:tcPr>
            <w:tcW w:w="1032" w:type="dxa"/>
            <w:shd w:val="clear" w:color="auto" w:fill="auto"/>
          </w:tcPr>
          <w:p w14:paraId="599BF4BB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4F08A03F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18F86376" w14:textId="77777777" w:rsidR="00851007" w:rsidRDefault="00851007" w:rsidP="00A3638A">
            <w:pPr>
              <w:pStyle w:val="BodyTextIndent"/>
              <w:ind w:left="0"/>
            </w:pPr>
            <w:r>
              <w:t>62.5</w:t>
            </w:r>
          </w:p>
        </w:tc>
        <w:tc>
          <w:tcPr>
            <w:tcW w:w="1530" w:type="dxa"/>
            <w:shd w:val="clear" w:color="auto" w:fill="auto"/>
          </w:tcPr>
          <w:p w14:paraId="0C0C5FCA" w14:textId="77777777" w:rsidR="00851007" w:rsidRDefault="00851007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St</w:t>
            </w:r>
          </w:p>
        </w:tc>
        <w:tc>
          <w:tcPr>
            <w:tcW w:w="1779" w:type="dxa"/>
            <w:shd w:val="clear" w:color="auto" w:fill="auto"/>
          </w:tcPr>
          <w:p w14:paraId="51C38B85" w14:textId="77777777" w:rsidR="00851007" w:rsidRPr="00D529BA" w:rsidRDefault="00851007" w:rsidP="00A3638A">
            <w:pPr>
              <w:pStyle w:val="BodyTextIndent"/>
              <w:ind w:left="0"/>
            </w:pPr>
            <w:r>
              <w:t>51.1</w:t>
            </w:r>
          </w:p>
        </w:tc>
      </w:tr>
      <w:tr w:rsidR="00851007" w:rsidRPr="00D529BA" w14:paraId="54014740" w14:textId="77777777" w:rsidTr="00A3638A">
        <w:tc>
          <w:tcPr>
            <w:tcW w:w="1032" w:type="dxa"/>
            <w:shd w:val="clear" w:color="auto" w:fill="auto"/>
          </w:tcPr>
          <w:p w14:paraId="1762ABC2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3F640147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7A91C56D" w14:textId="77777777" w:rsidR="00851007" w:rsidRDefault="00851007" w:rsidP="00A3638A">
            <w:pPr>
              <w:pStyle w:val="BodyTextIndent"/>
              <w:ind w:left="0"/>
            </w:pPr>
            <w:r>
              <w:t>50.0</w:t>
            </w:r>
          </w:p>
        </w:tc>
        <w:tc>
          <w:tcPr>
            <w:tcW w:w="1530" w:type="dxa"/>
            <w:shd w:val="clear" w:color="auto" w:fill="auto"/>
          </w:tcPr>
          <w:p w14:paraId="454FCF1F" w14:textId="77777777" w:rsidR="00851007" w:rsidRDefault="00851007" w:rsidP="00A3638A">
            <w:pPr>
              <w:pStyle w:val="BodyTextIndent"/>
              <w:ind w:left="0"/>
            </w:pPr>
            <w:proofErr w:type="spellStart"/>
            <w:r>
              <w:t>Mj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21C9C117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851007" w:rsidRPr="00D529BA" w14:paraId="38B0E83C" w14:textId="77777777" w:rsidTr="00A3638A">
        <w:tc>
          <w:tcPr>
            <w:tcW w:w="1032" w:type="dxa"/>
            <w:shd w:val="clear" w:color="auto" w:fill="auto"/>
          </w:tcPr>
          <w:p w14:paraId="50174F6B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94EAEAA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4A8F6DB9" w14:textId="77777777" w:rsidR="00851007" w:rsidRDefault="00851007" w:rsidP="00A3638A">
            <w:pPr>
              <w:pStyle w:val="BodyTextIndent"/>
              <w:ind w:left="0"/>
            </w:pPr>
            <w:r>
              <w:t>37.5</w:t>
            </w:r>
          </w:p>
        </w:tc>
        <w:tc>
          <w:tcPr>
            <w:tcW w:w="1530" w:type="dxa"/>
            <w:shd w:val="clear" w:color="auto" w:fill="auto"/>
          </w:tcPr>
          <w:p w14:paraId="7B71345C" w14:textId="3E645643" w:rsidR="00851007" w:rsidRDefault="00851007" w:rsidP="00A3638A">
            <w:pPr>
              <w:pStyle w:val="BodyTextIndent"/>
              <w:ind w:left="0"/>
            </w:pPr>
            <w:proofErr w:type="spellStart"/>
            <w:r>
              <w:t>AnhB</w:t>
            </w:r>
            <w:proofErr w:type="spellEnd"/>
            <w:r w:rsidR="00D17338">
              <w:t xml:space="preserve"> + </w:t>
            </w:r>
            <w:proofErr w:type="spellStart"/>
            <w:r w:rsidR="00D17338"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40F2ABAD" w14:textId="77777777" w:rsidR="00851007" w:rsidRPr="00D529BA" w:rsidRDefault="00851007" w:rsidP="00A3638A">
            <w:pPr>
              <w:pStyle w:val="BodyTextIndent"/>
              <w:ind w:left="0"/>
            </w:pPr>
            <w:r>
              <w:t>42.3</w:t>
            </w:r>
          </w:p>
        </w:tc>
      </w:tr>
      <w:tr w:rsidR="00851007" w:rsidRPr="00D529BA" w14:paraId="60364BE3" w14:textId="77777777" w:rsidTr="00A3638A">
        <w:tc>
          <w:tcPr>
            <w:tcW w:w="1032" w:type="dxa"/>
            <w:shd w:val="clear" w:color="auto" w:fill="auto"/>
          </w:tcPr>
          <w:p w14:paraId="75CA1E36" w14:textId="77777777" w:rsidR="00851007" w:rsidRDefault="00851007" w:rsidP="00A3638A">
            <w:pPr>
              <w:pStyle w:val="BodyTextIndent"/>
              <w:ind w:left="0"/>
            </w:pPr>
            <w:r>
              <w:t>16</w:t>
            </w:r>
          </w:p>
        </w:tc>
        <w:tc>
          <w:tcPr>
            <w:tcW w:w="937" w:type="dxa"/>
            <w:shd w:val="clear" w:color="auto" w:fill="auto"/>
          </w:tcPr>
          <w:p w14:paraId="65F5E458" w14:textId="77777777" w:rsidR="00851007" w:rsidRDefault="003A2B60" w:rsidP="00A3638A">
            <w:pPr>
              <w:pStyle w:val="BodyTextIndent"/>
              <w:ind w:left="0"/>
            </w:pPr>
            <w:r>
              <w:t>2637</w:t>
            </w:r>
          </w:p>
        </w:tc>
        <w:tc>
          <w:tcPr>
            <w:tcW w:w="1649" w:type="dxa"/>
            <w:shd w:val="clear" w:color="auto" w:fill="auto"/>
          </w:tcPr>
          <w:p w14:paraId="2545DF02" w14:textId="77777777" w:rsidR="00851007" w:rsidRDefault="003A2B60" w:rsidP="00A3638A">
            <w:pPr>
              <w:pStyle w:val="BodyTextIndent"/>
              <w:ind w:left="0"/>
            </w:pPr>
            <w:r>
              <w:t>51</w:t>
            </w:r>
          </w:p>
        </w:tc>
        <w:tc>
          <w:tcPr>
            <w:tcW w:w="1530" w:type="dxa"/>
            <w:shd w:val="clear" w:color="auto" w:fill="auto"/>
          </w:tcPr>
          <w:p w14:paraId="04891DCE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1B4925A8" w14:textId="77777777" w:rsidR="00851007" w:rsidRPr="00D529BA" w:rsidRDefault="003A2B60" w:rsidP="00A3638A">
            <w:pPr>
              <w:pStyle w:val="BodyTextIndent"/>
              <w:ind w:left="0"/>
            </w:pPr>
            <w:r>
              <w:t>51</w:t>
            </w:r>
          </w:p>
        </w:tc>
      </w:tr>
      <w:tr w:rsidR="00851007" w:rsidRPr="00D529BA" w14:paraId="14D0525C" w14:textId="77777777" w:rsidTr="00A3638A">
        <w:tc>
          <w:tcPr>
            <w:tcW w:w="1032" w:type="dxa"/>
            <w:shd w:val="clear" w:color="auto" w:fill="auto"/>
          </w:tcPr>
          <w:p w14:paraId="1E0A239A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06048026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75B4E3EE" w14:textId="77777777" w:rsidR="00851007" w:rsidRDefault="003A2B60" w:rsidP="00A3638A">
            <w:pPr>
              <w:pStyle w:val="BodyTextIndent"/>
              <w:ind w:left="0"/>
            </w:pPr>
            <w:r>
              <w:t>44.3</w:t>
            </w:r>
          </w:p>
        </w:tc>
        <w:tc>
          <w:tcPr>
            <w:tcW w:w="1530" w:type="dxa"/>
            <w:shd w:val="clear" w:color="auto" w:fill="auto"/>
          </w:tcPr>
          <w:p w14:paraId="37990F28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5E74861" w14:textId="77777777" w:rsidR="00851007" w:rsidRPr="00D529BA" w:rsidRDefault="003A2B60" w:rsidP="00A3638A">
            <w:pPr>
              <w:pStyle w:val="BodyTextIndent"/>
              <w:ind w:left="0"/>
            </w:pPr>
            <w:r>
              <w:t>44.3</w:t>
            </w:r>
          </w:p>
        </w:tc>
      </w:tr>
      <w:tr w:rsidR="00851007" w:rsidRPr="00D529BA" w14:paraId="623E6804" w14:textId="77777777" w:rsidTr="00A3638A">
        <w:tc>
          <w:tcPr>
            <w:tcW w:w="1032" w:type="dxa"/>
            <w:shd w:val="clear" w:color="auto" w:fill="auto"/>
          </w:tcPr>
          <w:p w14:paraId="16F451D7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35F46459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7BBA697E" w14:textId="77777777" w:rsidR="00851007" w:rsidRDefault="003A2B60" w:rsidP="00A3638A">
            <w:pPr>
              <w:pStyle w:val="BodyTextIndent"/>
              <w:ind w:left="0"/>
            </w:pPr>
            <w:r>
              <w:t>42</w:t>
            </w:r>
          </w:p>
        </w:tc>
        <w:tc>
          <w:tcPr>
            <w:tcW w:w="1530" w:type="dxa"/>
            <w:shd w:val="clear" w:color="auto" w:fill="auto"/>
          </w:tcPr>
          <w:p w14:paraId="396E0BB2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4DC38E7E" w14:textId="77777777" w:rsidR="00851007" w:rsidRPr="00D529BA" w:rsidRDefault="003A2B60" w:rsidP="00A3638A">
            <w:pPr>
              <w:pStyle w:val="BodyTextIndent"/>
              <w:ind w:left="0"/>
            </w:pPr>
            <w:r>
              <w:t>42</w:t>
            </w:r>
          </w:p>
        </w:tc>
      </w:tr>
      <w:tr w:rsidR="00851007" w:rsidRPr="00D529BA" w14:paraId="2A0BBE81" w14:textId="77777777" w:rsidTr="00A3638A">
        <w:tc>
          <w:tcPr>
            <w:tcW w:w="1032" w:type="dxa"/>
            <w:shd w:val="clear" w:color="auto" w:fill="auto"/>
          </w:tcPr>
          <w:p w14:paraId="0F293F0B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3C643774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6BB0284B" w14:textId="77777777" w:rsidR="00851007" w:rsidRDefault="003A2B60" w:rsidP="00A3638A">
            <w:pPr>
              <w:pStyle w:val="BodyTextIndent"/>
              <w:ind w:left="0"/>
            </w:pPr>
            <w:r>
              <w:t>25.0</w:t>
            </w:r>
          </w:p>
        </w:tc>
        <w:tc>
          <w:tcPr>
            <w:tcW w:w="1530" w:type="dxa"/>
            <w:shd w:val="clear" w:color="auto" w:fill="auto"/>
          </w:tcPr>
          <w:p w14:paraId="6006A634" w14:textId="77777777" w:rsidR="00851007" w:rsidRDefault="003A2B60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7A22F486" w14:textId="77777777" w:rsidR="003A2B60" w:rsidRPr="00D529BA" w:rsidRDefault="003A2B60" w:rsidP="00A3638A">
            <w:pPr>
              <w:pStyle w:val="BodyTextIndent"/>
              <w:ind w:left="0"/>
            </w:pPr>
            <w:r>
              <w:t>40.1</w:t>
            </w:r>
          </w:p>
        </w:tc>
      </w:tr>
      <w:tr w:rsidR="00851007" w:rsidRPr="00D529BA" w14:paraId="127A87B7" w14:textId="77777777" w:rsidTr="00A3638A">
        <w:tc>
          <w:tcPr>
            <w:tcW w:w="1032" w:type="dxa"/>
            <w:shd w:val="clear" w:color="auto" w:fill="auto"/>
          </w:tcPr>
          <w:p w14:paraId="1F981E3A" w14:textId="77777777" w:rsidR="00851007" w:rsidRDefault="003A2B60" w:rsidP="00A3638A">
            <w:pPr>
              <w:pStyle w:val="BodyTextIndent"/>
              <w:ind w:left="0"/>
            </w:pPr>
            <w:r>
              <w:t>16</w:t>
            </w:r>
          </w:p>
        </w:tc>
        <w:tc>
          <w:tcPr>
            <w:tcW w:w="937" w:type="dxa"/>
            <w:shd w:val="clear" w:color="auto" w:fill="auto"/>
          </w:tcPr>
          <w:p w14:paraId="29CC55DD" w14:textId="77777777" w:rsidR="00851007" w:rsidRDefault="003A2B60" w:rsidP="00A3638A">
            <w:pPr>
              <w:pStyle w:val="BodyTextIndent"/>
              <w:ind w:left="0"/>
            </w:pPr>
            <w:r>
              <w:t>2643</w:t>
            </w:r>
          </w:p>
        </w:tc>
        <w:tc>
          <w:tcPr>
            <w:tcW w:w="1649" w:type="dxa"/>
            <w:shd w:val="clear" w:color="auto" w:fill="auto"/>
          </w:tcPr>
          <w:p w14:paraId="1F06BB01" w14:textId="77777777" w:rsidR="00851007" w:rsidRDefault="003A2B60" w:rsidP="00A3638A">
            <w:pPr>
              <w:pStyle w:val="BodyTextIndent"/>
              <w:ind w:left="0"/>
            </w:pPr>
            <w:r>
              <w:t>62.5</w:t>
            </w:r>
          </w:p>
        </w:tc>
        <w:tc>
          <w:tcPr>
            <w:tcW w:w="1530" w:type="dxa"/>
            <w:shd w:val="clear" w:color="auto" w:fill="auto"/>
          </w:tcPr>
          <w:p w14:paraId="6040E649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St</w:t>
            </w:r>
          </w:p>
        </w:tc>
        <w:tc>
          <w:tcPr>
            <w:tcW w:w="1779" w:type="dxa"/>
            <w:shd w:val="clear" w:color="auto" w:fill="auto"/>
          </w:tcPr>
          <w:p w14:paraId="34CF5EF4" w14:textId="77777777" w:rsidR="00851007" w:rsidRPr="00D529BA" w:rsidRDefault="003A2B60" w:rsidP="00A3638A">
            <w:pPr>
              <w:pStyle w:val="BodyTextIndent"/>
              <w:ind w:left="0"/>
            </w:pPr>
            <w:r>
              <w:t>54.9</w:t>
            </w:r>
          </w:p>
        </w:tc>
      </w:tr>
      <w:tr w:rsidR="00851007" w:rsidRPr="00D529BA" w14:paraId="210B3E9F" w14:textId="77777777" w:rsidTr="00A3638A">
        <w:tc>
          <w:tcPr>
            <w:tcW w:w="1032" w:type="dxa"/>
            <w:shd w:val="clear" w:color="auto" w:fill="auto"/>
          </w:tcPr>
          <w:p w14:paraId="01B53F7E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151673E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4AF27E48" w14:textId="77777777" w:rsidR="00851007" w:rsidRDefault="003A2B60" w:rsidP="00A3638A">
            <w:pPr>
              <w:pStyle w:val="BodyTextIndent"/>
              <w:ind w:left="0"/>
            </w:pPr>
            <w:r>
              <w:t>50</w:t>
            </w:r>
          </w:p>
        </w:tc>
        <w:tc>
          <w:tcPr>
            <w:tcW w:w="1530" w:type="dxa"/>
            <w:shd w:val="clear" w:color="auto" w:fill="auto"/>
          </w:tcPr>
          <w:p w14:paraId="53E368F2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563DEF1E" w14:textId="77777777" w:rsidR="00851007" w:rsidRPr="00D529BA" w:rsidRDefault="003A2B60" w:rsidP="00A3638A">
            <w:pPr>
              <w:pStyle w:val="BodyTextIndent"/>
              <w:ind w:left="0"/>
            </w:pPr>
            <w:r>
              <w:t>50</w:t>
            </w:r>
          </w:p>
        </w:tc>
      </w:tr>
      <w:tr w:rsidR="00851007" w:rsidRPr="00D529BA" w14:paraId="7712049F" w14:textId="77777777" w:rsidTr="00A3638A">
        <w:tc>
          <w:tcPr>
            <w:tcW w:w="1032" w:type="dxa"/>
            <w:shd w:val="clear" w:color="auto" w:fill="auto"/>
          </w:tcPr>
          <w:p w14:paraId="476E22BE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6737A9B7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D76B163" w14:textId="77777777" w:rsidR="00851007" w:rsidRDefault="003A2B60" w:rsidP="00A3638A">
            <w:pPr>
              <w:pStyle w:val="BodyTextIndent"/>
              <w:ind w:left="0"/>
            </w:pPr>
            <w:r>
              <w:t>33.3</w:t>
            </w:r>
          </w:p>
        </w:tc>
        <w:tc>
          <w:tcPr>
            <w:tcW w:w="1530" w:type="dxa"/>
            <w:shd w:val="clear" w:color="auto" w:fill="auto"/>
          </w:tcPr>
          <w:p w14:paraId="2D800FFD" w14:textId="77777777" w:rsidR="00851007" w:rsidRDefault="003A2B60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24F21B67" w14:textId="77777777" w:rsidR="00851007" w:rsidRPr="00D529BA" w:rsidRDefault="003A2B60" w:rsidP="00A3638A">
            <w:pPr>
              <w:pStyle w:val="BodyTextIndent"/>
              <w:ind w:left="0"/>
            </w:pPr>
            <w:r>
              <w:t>39.5</w:t>
            </w:r>
          </w:p>
        </w:tc>
      </w:tr>
      <w:tr w:rsidR="00851007" w:rsidRPr="00D529BA" w14:paraId="3B5A753A" w14:textId="77777777" w:rsidTr="00A3638A">
        <w:tc>
          <w:tcPr>
            <w:tcW w:w="1032" w:type="dxa"/>
            <w:shd w:val="clear" w:color="auto" w:fill="auto"/>
          </w:tcPr>
          <w:p w14:paraId="09484F89" w14:textId="77777777" w:rsidR="00851007" w:rsidRDefault="003A2B60" w:rsidP="00A3638A">
            <w:pPr>
              <w:pStyle w:val="BodyTextIndent"/>
              <w:ind w:left="0"/>
            </w:pPr>
            <w:r>
              <w:t>16</w:t>
            </w:r>
          </w:p>
        </w:tc>
        <w:tc>
          <w:tcPr>
            <w:tcW w:w="937" w:type="dxa"/>
            <w:shd w:val="clear" w:color="auto" w:fill="auto"/>
          </w:tcPr>
          <w:p w14:paraId="361FF357" w14:textId="77777777" w:rsidR="00851007" w:rsidRDefault="003A2B60" w:rsidP="00A3638A">
            <w:pPr>
              <w:pStyle w:val="BodyTextIndent"/>
              <w:ind w:left="0"/>
            </w:pPr>
            <w:r>
              <w:t>2733</w:t>
            </w:r>
          </w:p>
        </w:tc>
        <w:tc>
          <w:tcPr>
            <w:tcW w:w="1649" w:type="dxa"/>
            <w:shd w:val="clear" w:color="auto" w:fill="auto"/>
          </w:tcPr>
          <w:p w14:paraId="02C72FC5" w14:textId="77777777" w:rsidR="00851007" w:rsidRDefault="003A2B60" w:rsidP="00A3638A">
            <w:pPr>
              <w:pStyle w:val="BodyTextIndent"/>
              <w:ind w:left="0"/>
            </w:pPr>
            <w:r>
              <w:t>52.8</w:t>
            </w:r>
          </w:p>
        </w:tc>
        <w:tc>
          <w:tcPr>
            <w:tcW w:w="1530" w:type="dxa"/>
            <w:shd w:val="clear" w:color="auto" w:fill="auto"/>
          </w:tcPr>
          <w:p w14:paraId="2E803FE8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92068A0" w14:textId="77777777" w:rsidR="00851007" w:rsidRPr="00D529BA" w:rsidRDefault="003A2B60" w:rsidP="00A3638A">
            <w:pPr>
              <w:pStyle w:val="BodyTextIndent"/>
              <w:ind w:left="0"/>
            </w:pPr>
            <w:r>
              <w:t>52.8</w:t>
            </w:r>
          </w:p>
        </w:tc>
      </w:tr>
      <w:tr w:rsidR="00851007" w:rsidRPr="00D529BA" w14:paraId="60CFE383" w14:textId="77777777" w:rsidTr="00A3638A">
        <w:tc>
          <w:tcPr>
            <w:tcW w:w="1032" w:type="dxa"/>
            <w:shd w:val="clear" w:color="auto" w:fill="auto"/>
          </w:tcPr>
          <w:p w14:paraId="18500744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51338355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40424698" w14:textId="77777777" w:rsidR="00851007" w:rsidRDefault="003A2B60" w:rsidP="00A3638A">
            <w:pPr>
              <w:pStyle w:val="BodyTextIndent"/>
              <w:ind w:left="0"/>
            </w:pPr>
            <w:r>
              <w:t>44.6</w:t>
            </w:r>
          </w:p>
        </w:tc>
        <w:tc>
          <w:tcPr>
            <w:tcW w:w="1530" w:type="dxa"/>
            <w:shd w:val="clear" w:color="auto" w:fill="auto"/>
          </w:tcPr>
          <w:p w14:paraId="499B1294" w14:textId="77777777" w:rsidR="00851007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5D249E0B" w14:textId="77777777" w:rsidR="00851007" w:rsidRPr="00D529BA" w:rsidRDefault="003A2B60" w:rsidP="00A3638A">
            <w:pPr>
              <w:pStyle w:val="BodyTextIndent"/>
              <w:ind w:left="0"/>
            </w:pPr>
            <w:r>
              <w:t>44.6</w:t>
            </w:r>
          </w:p>
        </w:tc>
      </w:tr>
      <w:tr w:rsidR="00851007" w:rsidRPr="00D529BA" w14:paraId="1389155C" w14:textId="77777777" w:rsidTr="00A3638A">
        <w:tc>
          <w:tcPr>
            <w:tcW w:w="1032" w:type="dxa"/>
            <w:shd w:val="clear" w:color="auto" w:fill="auto"/>
          </w:tcPr>
          <w:p w14:paraId="2257F86D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3E22D4A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6F0327F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530" w:type="dxa"/>
            <w:shd w:val="clear" w:color="auto" w:fill="auto"/>
          </w:tcPr>
          <w:p w14:paraId="37CDF7F9" w14:textId="77777777" w:rsidR="00851007" w:rsidRDefault="00851007" w:rsidP="00A3638A">
            <w:pPr>
              <w:pStyle w:val="BodyTextIndent"/>
              <w:ind w:left="0"/>
            </w:pPr>
          </w:p>
        </w:tc>
        <w:tc>
          <w:tcPr>
            <w:tcW w:w="1779" w:type="dxa"/>
            <w:shd w:val="clear" w:color="auto" w:fill="auto"/>
          </w:tcPr>
          <w:p w14:paraId="73AECA05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851007" w:rsidRPr="00D529BA" w14:paraId="788E1671" w14:textId="77777777" w:rsidTr="00A3638A">
        <w:tc>
          <w:tcPr>
            <w:tcW w:w="1032" w:type="dxa"/>
            <w:shd w:val="clear" w:color="auto" w:fill="auto"/>
          </w:tcPr>
          <w:p w14:paraId="0D05217F" w14:textId="77777777" w:rsidR="00851007" w:rsidRDefault="003A2B60" w:rsidP="00A3638A">
            <w:pPr>
              <w:pStyle w:val="BodyTextIndent"/>
              <w:ind w:left="0"/>
            </w:pPr>
            <w:r>
              <w:t>20</w:t>
            </w:r>
          </w:p>
        </w:tc>
        <w:tc>
          <w:tcPr>
            <w:tcW w:w="937" w:type="dxa"/>
            <w:shd w:val="clear" w:color="auto" w:fill="auto"/>
          </w:tcPr>
          <w:p w14:paraId="18E2CC06" w14:textId="77777777" w:rsidR="00851007" w:rsidRDefault="003A2B60" w:rsidP="00A3638A">
            <w:pPr>
              <w:pStyle w:val="BodyTextIndent"/>
              <w:ind w:left="0"/>
            </w:pPr>
            <w:r>
              <w:t>2544</w:t>
            </w:r>
          </w:p>
        </w:tc>
        <w:tc>
          <w:tcPr>
            <w:tcW w:w="1649" w:type="dxa"/>
            <w:shd w:val="clear" w:color="auto" w:fill="auto"/>
          </w:tcPr>
          <w:p w14:paraId="4FB9AF36" w14:textId="77777777" w:rsidR="00851007" w:rsidRDefault="003A2B60" w:rsidP="00A3638A">
            <w:pPr>
              <w:pStyle w:val="BodyTextIndent"/>
              <w:ind w:left="0"/>
            </w:pPr>
            <w:r>
              <w:t>37.5</w:t>
            </w:r>
          </w:p>
        </w:tc>
        <w:tc>
          <w:tcPr>
            <w:tcW w:w="1530" w:type="dxa"/>
            <w:shd w:val="clear" w:color="auto" w:fill="auto"/>
          </w:tcPr>
          <w:p w14:paraId="21838AD4" w14:textId="77777777" w:rsidR="00851007" w:rsidRDefault="003A2B60" w:rsidP="00A3638A">
            <w:pPr>
              <w:pStyle w:val="BodyTextIndent"/>
              <w:ind w:left="0"/>
            </w:pPr>
            <w:r>
              <w:t xml:space="preserve">Wd + </w:t>
            </w:r>
            <w:proofErr w:type="spellStart"/>
            <w:r>
              <w:t>Mj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4E71A32F" w14:textId="77777777" w:rsidR="00851007" w:rsidRPr="00D529BA" w:rsidRDefault="00851007" w:rsidP="00A3638A">
            <w:pPr>
              <w:pStyle w:val="BodyTextIndent"/>
              <w:ind w:left="0"/>
            </w:pPr>
          </w:p>
        </w:tc>
      </w:tr>
      <w:tr w:rsidR="003A2B60" w:rsidRPr="00D529BA" w14:paraId="51F63E65" w14:textId="77777777" w:rsidTr="00A3638A">
        <w:tc>
          <w:tcPr>
            <w:tcW w:w="1032" w:type="dxa"/>
            <w:shd w:val="clear" w:color="auto" w:fill="auto"/>
          </w:tcPr>
          <w:p w14:paraId="7DFFDB1E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5B8607A8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FE09850" w14:textId="77777777" w:rsidR="003A2B60" w:rsidRDefault="003A2B60" w:rsidP="00A3638A">
            <w:pPr>
              <w:pStyle w:val="BodyTextIndent"/>
              <w:ind w:left="0"/>
            </w:pPr>
            <w:r>
              <w:t>45.8</w:t>
            </w:r>
          </w:p>
        </w:tc>
        <w:tc>
          <w:tcPr>
            <w:tcW w:w="1530" w:type="dxa"/>
            <w:shd w:val="clear" w:color="auto" w:fill="auto"/>
          </w:tcPr>
          <w:p w14:paraId="26401E90" w14:textId="77777777" w:rsidR="003A2B60" w:rsidRDefault="003A2B60" w:rsidP="00A3638A">
            <w:pPr>
              <w:pStyle w:val="BodyTextIndent"/>
              <w:ind w:left="0"/>
            </w:pPr>
            <w:r>
              <w:t xml:space="preserve">Wd + </w:t>
            </w:r>
            <w:proofErr w:type="spellStart"/>
            <w:r>
              <w:t>Mj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4E14A91" w14:textId="77777777" w:rsidR="003A2B60" w:rsidRPr="00D529BA" w:rsidRDefault="003A2B60" w:rsidP="00A3638A">
            <w:pPr>
              <w:pStyle w:val="BodyTextIndent"/>
              <w:ind w:left="0"/>
            </w:pPr>
          </w:p>
        </w:tc>
      </w:tr>
      <w:tr w:rsidR="003A2B60" w:rsidRPr="00D529BA" w14:paraId="17801FBF" w14:textId="77777777" w:rsidTr="00A3638A">
        <w:tc>
          <w:tcPr>
            <w:tcW w:w="1032" w:type="dxa"/>
            <w:shd w:val="clear" w:color="auto" w:fill="auto"/>
          </w:tcPr>
          <w:p w14:paraId="6EC4787D" w14:textId="77777777" w:rsidR="003A2B60" w:rsidRDefault="00C21B32" w:rsidP="00A3638A">
            <w:pPr>
              <w:pStyle w:val="BodyTextIndent"/>
              <w:ind w:left="0"/>
            </w:pPr>
            <w:r>
              <w:t>20</w:t>
            </w:r>
          </w:p>
        </w:tc>
        <w:tc>
          <w:tcPr>
            <w:tcW w:w="937" w:type="dxa"/>
            <w:shd w:val="clear" w:color="auto" w:fill="auto"/>
          </w:tcPr>
          <w:p w14:paraId="024F3E69" w14:textId="77777777" w:rsidR="003A2B60" w:rsidRDefault="003A2B60" w:rsidP="00A3638A">
            <w:pPr>
              <w:pStyle w:val="BodyTextIndent"/>
              <w:ind w:left="0"/>
            </w:pPr>
            <w:r>
              <w:t>2596</w:t>
            </w:r>
          </w:p>
        </w:tc>
        <w:tc>
          <w:tcPr>
            <w:tcW w:w="1649" w:type="dxa"/>
            <w:shd w:val="clear" w:color="auto" w:fill="auto"/>
          </w:tcPr>
          <w:p w14:paraId="351A044F" w14:textId="77777777" w:rsidR="003A2B60" w:rsidRDefault="003A2B60" w:rsidP="00A3638A">
            <w:pPr>
              <w:pStyle w:val="BodyTextIndent"/>
              <w:ind w:left="0"/>
            </w:pPr>
            <w:r>
              <w:t>41.7</w:t>
            </w:r>
          </w:p>
        </w:tc>
        <w:tc>
          <w:tcPr>
            <w:tcW w:w="1530" w:type="dxa"/>
            <w:shd w:val="clear" w:color="auto" w:fill="auto"/>
          </w:tcPr>
          <w:p w14:paraId="42240D17" w14:textId="77777777" w:rsidR="003A2B60" w:rsidRDefault="003A2B60" w:rsidP="00A3638A">
            <w:pPr>
              <w:pStyle w:val="BodyTextIndent"/>
              <w:ind w:left="0"/>
            </w:pPr>
            <w:r>
              <w:t xml:space="preserve">Wd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7C16F349" w14:textId="77777777" w:rsidR="003A2B60" w:rsidRPr="00D529BA" w:rsidRDefault="003A2B60" w:rsidP="00A3638A">
            <w:pPr>
              <w:pStyle w:val="BodyTextIndent"/>
              <w:ind w:left="0"/>
            </w:pPr>
            <w:r>
              <w:t>43.6</w:t>
            </w:r>
          </w:p>
        </w:tc>
      </w:tr>
      <w:tr w:rsidR="003A2B60" w:rsidRPr="00D529BA" w14:paraId="7231DACA" w14:textId="77777777" w:rsidTr="00A3638A">
        <w:tc>
          <w:tcPr>
            <w:tcW w:w="1032" w:type="dxa"/>
            <w:shd w:val="clear" w:color="auto" w:fill="auto"/>
          </w:tcPr>
          <w:p w14:paraId="294EAF57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4AA964FC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F940338" w14:textId="77777777" w:rsidR="003A2B60" w:rsidRDefault="003A2B60" w:rsidP="00A3638A">
            <w:pPr>
              <w:pStyle w:val="BodyTextIndent"/>
              <w:ind w:left="0"/>
            </w:pPr>
            <w:r>
              <w:t>45.8</w:t>
            </w:r>
          </w:p>
        </w:tc>
        <w:tc>
          <w:tcPr>
            <w:tcW w:w="1530" w:type="dxa"/>
            <w:shd w:val="clear" w:color="auto" w:fill="auto"/>
          </w:tcPr>
          <w:p w14:paraId="4C4C55DB" w14:textId="77777777" w:rsidR="003A2B60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</w:t>
            </w:r>
            <w:proofErr w:type="spellStart"/>
            <w:r>
              <w:t>Mj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27869C95" w14:textId="77777777" w:rsidR="003A2B60" w:rsidRPr="00D529BA" w:rsidRDefault="003A2B60" w:rsidP="00A3638A">
            <w:pPr>
              <w:pStyle w:val="BodyTextIndent"/>
              <w:ind w:left="0"/>
            </w:pPr>
            <w:r>
              <w:t>44.0</w:t>
            </w:r>
          </w:p>
        </w:tc>
      </w:tr>
      <w:tr w:rsidR="003A2B60" w:rsidRPr="00D529BA" w14:paraId="08E992E8" w14:textId="77777777" w:rsidTr="00A3638A">
        <w:tc>
          <w:tcPr>
            <w:tcW w:w="1032" w:type="dxa"/>
            <w:shd w:val="clear" w:color="auto" w:fill="auto"/>
          </w:tcPr>
          <w:p w14:paraId="7DA36F57" w14:textId="77777777" w:rsidR="003A2B60" w:rsidRDefault="00C21B32" w:rsidP="00A3638A">
            <w:pPr>
              <w:pStyle w:val="BodyTextIndent"/>
              <w:ind w:left="0"/>
            </w:pPr>
            <w:r>
              <w:t>20</w:t>
            </w:r>
          </w:p>
        </w:tc>
        <w:tc>
          <w:tcPr>
            <w:tcW w:w="937" w:type="dxa"/>
            <w:shd w:val="clear" w:color="auto" w:fill="auto"/>
          </w:tcPr>
          <w:p w14:paraId="01F35578" w14:textId="77777777" w:rsidR="003A2B60" w:rsidRDefault="003A2B60" w:rsidP="00A3638A">
            <w:pPr>
              <w:pStyle w:val="BodyTextIndent"/>
              <w:ind w:left="0"/>
            </w:pPr>
            <w:r>
              <w:t>2642</w:t>
            </w:r>
          </w:p>
        </w:tc>
        <w:tc>
          <w:tcPr>
            <w:tcW w:w="1649" w:type="dxa"/>
            <w:shd w:val="clear" w:color="auto" w:fill="auto"/>
          </w:tcPr>
          <w:p w14:paraId="6F228F9E" w14:textId="77777777" w:rsidR="003A2B60" w:rsidRDefault="003A2B60" w:rsidP="00A3638A">
            <w:pPr>
              <w:pStyle w:val="BodyTextIndent"/>
              <w:ind w:left="0"/>
            </w:pPr>
            <w:r>
              <w:t>45.8</w:t>
            </w:r>
          </w:p>
        </w:tc>
        <w:tc>
          <w:tcPr>
            <w:tcW w:w="1530" w:type="dxa"/>
            <w:shd w:val="clear" w:color="auto" w:fill="auto"/>
          </w:tcPr>
          <w:p w14:paraId="1BEC94FE" w14:textId="77777777" w:rsidR="003A2B60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5E1C90BD" w14:textId="77777777" w:rsidR="003A2B60" w:rsidRPr="00D529BA" w:rsidRDefault="003A2B60" w:rsidP="00A3638A">
            <w:pPr>
              <w:pStyle w:val="BodyTextIndent"/>
              <w:ind w:left="0"/>
            </w:pPr>
            <w:r>
              <w:t>45.8</w:t>
            </w:r>
          </w:p>
        </w:tc>
      </w:tr>
      <w:tr w:rsidR="003A2B60" w:rsidRPr="00D529BA" w14:paraId="2F849EEE" w14:textId="77777777" w:rsidTr="00A3638A">
        <w:tc>
          <w:tcPr>
            <w:tcW w:w="1032" w:type="dxa"/>
            <w:shd w:val="clear" w:color="auto" w:fill="auto"/>
          </w:tcPr>
          <w:p w14:paraId="03B58582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65CF7AAE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63A256BA" w14:textId="77777777" w:rsidR="003A2B60" w:rsidRDefault="003A2B60" w:rsidP="00A3638A">
            <w:pPr>
              <w:pStyle w:val="BodyTextIndent"/>
              <w:ind w:left="0"/>
            </w:pPr>
            <w:r>
              <w:t>41.7</w:t>
            </w:r>
          </w:p>
        </w:tc>
        <w:tc>
          <w:tcPr>
            <w:tcW w:w="1530" w:type="dxa"/>
            <w:shd w:val="clear" w:color="auto" w:fill="auto"/>
          </w:tcPr>
          <w:p w14:paraId="65E5FE87" w14:textId="77777777" w:rsidR="003A2B60" w:rsidRDefault="003A2B60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43625C88" w14:textId="77777777" w:rsidR="003A2B60" w:rsidRPr="00D529BA" w:rsidRDefault="003A2B60" w:rsidP="00A3638A">
            <w:pPr>
              <w:pStyle w:val="BodyTextIndent"/>
              <w:ind w:left="0"/>
            </w:pPr>
            <w:r>
              <w:t>41.0</w:t>
            </w:r>
          </w:p>
        </w:tc>
      </w:tr>
      <w:tr w:rsidR="003A2B60" w:rsidRPr="00D529BA" w14:paraId="51663C41" w14:textId="77777777" w:rsidTr="00A3638A">
        <w:tc>
          <w:tcPr>
            <w:tcW w:w="1032" w:type="dxa"/>
            <w:shd w:val="clear" w:color="auto" w:fill="auto"/>
          </w:tcPr>
          <w:p w14:paraId="0DD1DBEB" w14:textId="77777777" w:rsidR="003A2B60" w:rsidRDefault="00C21B32" w:rsidP="00A3638A">
            <w:pPr>
              <w:pStyle w:val="BodyTextIndent"/>
              <w:ind w:left="0"/>
            </w:pPr>
            <w:r>
              <w:t>20</w:t>
            </w:r>
          </w:p>
        </w:tc>
        <w:tc>
          <w:tcPr>
            <w:tcW w:w="937" w:type="dxa"/>
            <w:shd w:val="clear" w:color="auto" w:fill="auto"/>
          </w:tcPr>
          <w:p w14:paraId="46EE767A" w14:textId="77777777" w:rsidR="003A2B60" w:rsidRDefault="003A2B60" w:rsidP="00A3638A">
            <w:pPr>
              <w:pStyle w:val="BodyTextIndent"/>
              <w:ind w:left="0"/>
            </w:pPr>
            <w:r>
              <w:t>2750</w:t>
            </w:r>
          </w:p>
        </w:tc>
        <w:tc>
          <w:tcPr>
            <w:tcW w:w="1649" w:type="dxa"/>
            <w:shd w:val="clear" w:color="auto" w:fill="auto"/>
          </w:tcPr>
          <w:p w14:paraId="4543F153" w14:textId="77777777" w:rsidR="003A2B60" w:rsidRDefault="003A2B60" w:rsidP="00A3638A">
            <w:pPr>
              <w:pStyle w:val="BodyTextIndent"/>
              <w:ind w:left="0"/>
            </w:pPr>
            <w:r>
              <w:t>50.0</w:t>
            </w:r>
          </w:p>
        </w:tc>
        <w:tc>
          <w:tcPr>
            <w:tcW w:w="1530" w:type="dxa"/>
            <w:shd w:val="clear" w:color="auto" w:fill="auto"/>
          </w:tcPr>
          <w:p w14:paraId="5A8DD02C" w14:textId="77777777" w:rsidR="003A2B60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D780BB8" w14:textId="77777777" w:rsidR="003A2B60" w:rsidRPr="00D529BA" w:rsidRDefault="003A2B60" w:rsidP="00A3638A">
            <w:pPr>
              <w:pStyle w:val="BodyTextIndent"/>
              <w:ind w:left="0"/>
            </w:pPr>
            <w:r>
              <w:t>50.0</w:t>
            </w:r>
          </w:p>
        </w:tc>
      </w:tr>
      <w:tr w:rsidR="003A2B60" w:rsidRPr="00D529BA" w14:paraId="54340474" w14:textId="77777777" w:rsidTr="00A3638A">
        <w:tc>
          <w:tcPr>
            <w:tcW w:w="1032" w:type="dxa"/>
            <w:shd w:val="clear" w:color="auto" w:fill="auto"/>
          </w:tcPr>
          <w:p w14:paraId="5A225C1C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7334777C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ED8BDAB" w14:textId="77777777" w:rsidR="003A2B60" w:rsidRDefault="003A2B60" w:rsidP="00A3638A">
            <w:pPr>
              <w:pStyle w:val="BodyTextIndent"/>
              <w:ind w:left="0"/>
            </w:pPr>
            <w:r>
              <w:t>42.9</w:t>
            </w:r>
          </w:p>
        </w:tc>
        <w:tc>
          <w:tcPr>
            <w:tcW w:w="1530" w:type="dxa"/>
            <w:shd w:val="clear" w:color="auto" w:fill="auto"/>
          </w:tcPr>
          <w:p w14:paraId="1BF11912" w14:textId="77777777" w:rsidR="003A2B60" w:rsidRDefault="003A2B60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B5B9A1D" w14:textId="77777777" w:rsidR="003A2B60" w:rsidRPr="00D529BA" w:rsidRDefault="003A2B60" w:rsidP="00A3638A">
            <w:pPr>
              <w:pStyle w:val="BodyTextIndent"/>
              <w:ind w:left="0"/>
            </w:pPr>
            <w:r>
              <w:t>42.9</w:t>
            </w:r>
          </w:p>
        </w:tc>
      </w:tr>
      <w:tr w:rsidR="003A2B60" w:rsidRPr="00D529BA" w14:paraId="345DA79B" w14:textId="77777777" w:rsidTr="00A3638A">
        <w:tc>
          <w:tcPr>
            <w:tcW w:w="1032" w:type="dxa"/>
            <w:shd w:val="clear" w:color="auto" w:fill="auto"/>
          </w:tcPr>
          <w:p w14:paraId="6A9BBFA3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7413C6D3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5BF7B19" w14:textId="77777777" w:rsidR="003A2B60" w:rsidRDefault="003A2B60" w:rsidP="00A3638A">
            <w:pPr>
              <w:pStyle w:val="BodyTextIndent"/>
              <w:ind w:left="0"/>
            </w:pPr>
            <w:r>
              <w:t>37.5</w:t>
            </w:r>
          </w:p>
        </w:tc>
        <w:tc>
          <w:tcPr>
            <w:tcW w:w="1530" w:type="dxa"/>
            <w:shd w:val="clear" w:color="auto" w:fill="auto"/>
          </w:tcPr>
          <w:p w14:paraId="0DE23E09" w14:textId="77777777" w:rsidR="003A2B60" w:rsidRDefault="003A2B60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3B728B7A" w14:textId="77777777" w:rsidR="003A2B60" w:rsidRPr="00D529BA" w:rsidRDefault="003A2B60" w:rsidP="00A3638A">
            <w:pPr>
              <w:pStyle w:val="BodyTextIndent"/>
              <w:ind w:left="0"/>
            </w:pPr>
            <w:r>
              <w:t>40.8</w:t>
            </w:r>
          </w:p>
        </w:tc>
      </w:tr>
      <w:tr w:rsidR="003A2B60" w:rsidRPr="00D529BA" w14:paraId="1B2EA289" w14:textId="77777777" w:rsidTr="00A3638A">
        <w:tc>
          <w:tcPr>
            <w:tcW w:w="1032" w:type="dxa"/>
            <w:shd w:val="clear" w:color="auto" w:fill="auto"/>
          </w:tcPr>
          <w:p w14:paraId="07F3A873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991EDAA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E575AD6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530" w:type="dxa"/>
            <w:shd w:val="clear" w:color="auto" w:fill="auto"/>
          </w:tcPr>
          <w:p w14:paraId="5844B9E7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779" w:type="dxa"/>
            <w:shd w:val="clear" w:color="auto" w:fill="auto"/>
          </w:tcPr>
          <w:p w14:paraId="5F9CBDEA" w14:textId="77777777" w:rsidR="003A2B60" w:rsidRPr="00D529BA" w:rsidRDefault="003A2B60" w:rsidP="00A3638A">
            <w:pPr>
              <w:pStyle w:val="BodyTextIndent"/>
              <w:ind w:left="0"/>
            </w:pPr>
          </w:p>
        </w:tc>
      </w:tr>
      <w:tr w:rsidR="003A2B60" w:rsidRPr="00D529BA" w14:paraId="231FE6B6" w14:textId="77777777" w:rsidTr="00A3638A">
        <w:tc>
          <w:tcPr>
            <w:tcW w:w="1032" w:type="dxa"/>
            <w:shd w:val="clear" w:color="auto" w:fill="auto"/>
          </w:tcPr>
          <w:p w14:paraId="671E2427" w14:textId="77777777" w:rsidR="003A2B60" w:rsidRDefault="003A2B60" w:rsidP="00A3638A">
            <w:pPr>
              <w:pStyle w:val="BodyTextIndent"/>
              <w:ind w:left="0"/>
            </w:pPr>
            <w:r>
              <w:t>23</w:t>
            </w:r>
          </w:p>
        </w:tc>
        <w:tc>
          <w:tcPr>
            <w:tcW w:w="937" w:type="dxa"/>
            <w:shd w:val="clear" w:color="auto" w:fill="auto"/>
          </w:tcPr>
          <w:p w14:paraId="0A5DE9D4" w14:textId="77777777" w:rsidR="003A2B60" w:rsidRDefault="003A2B60" w:rsidP="00A3638A">
            <w:pPr>
              <w:pStyle w:val="BodyTextIndent"/>
              <w:ind w:left="0"/>
            </w:pPr>
            <w:r>
              <w:t>2493</w:t>
            </w:r>
          </w:p>
        </w:tc>
        <w:tc>
          <w:tcPr>
            <w:tcW w:w="1649" w:type="dxa"/>
            <w:shd w:val="clear" w:color="auto" w:fill="auto"/>
          </w:tcPr>
          <w:p w14:paraId="4FE00E94" w14:textId="77777777" w:rsidR="003A2B60" w:rsidRDefault="003A2B60" w:rsidP="00A3638A">
            <w:pPr>
              <w:pStyle w:val="BodyTextIndent"/>
              <w:ind w:left="0"/>
            </w:pPr>
            <w:r>
              <w:t>41.7</w:t>
            </w:r>
          </w:p>
        </w:tc>
        <w:tc>
          <w:tcPr>
            <w:tcW w:w="1530" w:type="dxa"/>
            <w:shd w:val="clear" w:color="auto" w:fill="auto"/>
          </w:tcPr>
          <w:p w14:paraId="619C362E" w14:textId="77777777" w:rsidR="003A2B60" w:rsidRDefault="003A2B60" w:rsidP="00A3638A">
            <w:pPr>
              <w:pStyle w:val="BodyTextIndent"/>
              <w:ind w:left="0"/>
            </w:pPr>
            <w:proofErr w:type="spellStart"/>
            <w:r>
              <w:t>Rw</w:t>
            </w:r>
            <w:proofErr w:type="spellEnd"/>
            <w:r>
              <w:t xml:space="preserve"> + Pv</w:t>
            </w:r>
          </w:p>
        </w:tc>
        <w:tc>
          <w:tcPr>
            <w:tcW w:w="1779" w:type="dxa"/>
            <w:shd w:val="clear" w:color="auto" w:fill="auto"/>
          </w:tcPr>
          <w:p w14:paraId="40D76A90" w14:textId="77777777" w:rsidR="003A2B60" w:rsidRPr="00D529BA" w:rsidRDefault="003A2B60" w:rsidP="00A3638A">
            <w:pPr>
              <w:pStyle w:val="BodyTextIndent"/>
              <w:ind w:left="0"/>
            </w:pPr>
          </w:p>
        </w:tc>
      </w:tr>
      <w:tr w:rsidR="003A2B60" w:rsidRPr="00D529BA" w14:paraId="511D9898" w14:textId="77777777" w:rsidTr="00A3638A">
        <w:tc>
          <w:tcPr>
            <w:tcW w:w="1032" w:type="dxa"/>
            <w:shd w:val="clear" w:color="auto" w:fill="auto"/>
          </w:tcPr>
          <w:p w14:paraId="19E2AA23" w14:textId="77777777" w:rsidR="003A2B60" w:rsidRDefault="00C21B32" w:rsidP="00A3638A">
            <w:pPr>
              <w:pStyle w:val="BodyTextIndent"/>
              <w:ind w:left="0"/>
            </w:pPr>
            <w:r>
              <w:t>23</w:t>
            </w:r>
          </w:p>
        </w:tc>
        <w:tc>
          <w:tcPr>
            <w:tcW w:w="937" w:type="dxa"/>
            <w:shd w:val="clear" w:color="auto" w:fill="auto"/>
          </w:tcPr>
          <w:p w14:paraId="27A5C846" w14:textId="77777777" w:rsidR="003A2B60" w:rsidRDefault="003A2B60" w:rsidP="00A3638A">
            <w:pPr>
              <w:pStyle w:val="BodyTextIndent"/>
              <w:ind w:left="0"/>
            </w:pPr>
            <w:r>
              <w:t>2593</w:t>
            </w:r>
          </w:p>
        </w:tc>
        <w:tc>
          <w:tcPr>
            <w:tcW w:w="1649" w:type="dxa"/>
            <w:shd w:val="clear" w:color="auto" w:fill="auto"/>
          </w:tcPr>
          <w:p w14:paraId="1E00EAD1" w14:textId="77777777" w:rsidR="003A2B60" w:rsidRDefault="003A2B60" w:rsidP="00A3638A">
            <w:pPr>
              <w:pStyle w:val="BodyTextIndent"/>
              <w:ind w:left="0"/>
            </w:pPr>
            <w:r>
              <w:t>41.7</w:t>
            </w:r>
          </w:p>
        </w:tc>
        <w:tc>
          <w:tcPr>
            <w:tcW w:w="1530" w:type="dxa"/>
            <w:shd w:val="clear" w:color="auto" w:fill="auto"/>
          </w:tcPr>
          <w:p w14:paraId="243D0F0C" w14:textId="77777777" w:rsidR="003A2B60" w:rsidRDefault="003A2B60" w:rsidP="00A3638A">
            <w:pPr>
              <w:pStyle w:val="BodyTextIndent"/>
              <w:ind w:left="0"/>
            </w:pPr>
            <w:r>
              <w:t>Wd + Pv</w:t>
            </w:r>
          </w:p>
        </w:tc>
        <w:tc>
          <w:tcPr>
            <w:tcW w:w="1779" w:type="dxa"/>
            <w:shd w:val="clear" w:color="auto" w:fill="auto"/>
          </w:tcPr>
          <w:p w14:paraId="5576FEE6" w14:textId="77777777" w:rsidR="003A2B60" w:rsidRPr="00D529BA" w:rsidRDefault="003A2B60" w:rsidP="00A3638A">
            <w:pPr>
              <w:pStyle w:val="BodyTextIndent"/>
              <w:ind w:left="0"/>
            </w:pPr>
          </w:p>
        </w:tc>
      </w:tr>
      <w:tr w:rsidR="003A2B60" w:rsidRPr="00D529BA" w14:paraId="7ACA33C8" w14:textId="77777777" w:rsidTr="00A3638A">
        <w:tc>
          <w:tcPr>
            <w:tcW w:w="1032" w:type="dxa"/>
            <w:shd w:val="clear" w:color="auto" w:fill="auto"/>
          </w:tcPr>
          <w:p w14:paraId="7773CD4A" w14:textId="77777777" w:rsidR="003A2B60" w:rsidRDefault="00C21B32" w:rsidP="00A3638A">
            <w:pPr>
              <w:pStyle w:val="BodyTextIndent"/>
              <w:ind w:left="0"/>
            </w:pPr>
            <w:r>
              <w:t>23</w:t>
            </w:r>
          </w:p>
        </w:tc>
        <w:tc>
          <w:tcPr>
            <w:tcW w:w="937" w:type="dxa"/>
            <w:shd w:val="clear" w:color="auto" w:fill="auto"/>
          </w:tcPr>
          <w:p w14:paraId="30979A6D" w14:textId="77777777" w:rsidR="003A2B60" w:rsidRDefault="00A5229B" w:rsidP="00A3638A">
            <w:pPr>
              <w:pStyle w:val="BodyTextIndent"/>
              <w:ind w:left="0"/>
            </w:pPr>
            <w:r>
              <w:t>2693</w:t>
            </w:r>
          </w:p>
        </w:tc>
        <w:tc>
          <w:tcPr>
            <w:tcW w:w="1649" w:type="dxa"/>
            <w:shd w:val="clear" w:color="auto" w:fill="auto"/>
          </w:tcPr>
          <w:p w14:paraId="430C1BE4" w14:textId="77777777" w:rsidR="003A2B60" w:rsidRDefault="00A5229B" w:rsidP="00A3638A">
            <w:pPr>
              <w:pStyle w:val="BodyTextIndent"/>
              <w:ind w:left="0"/>
            </w:pPr>
            <w:r>
              <w:t>41.7</w:t>
            </w:r>
          </w:p>
        </w:tc>
        <w:tc>
          <w:tcPr>
            <w:tcW w:w="1530" w:type="dxa"/>
            <w:shd w:val="clear" w:color="auto" w:fill="auto"/>
          </w:tcPr>
          <w:p w14:paraId="4296E0EE" w14:textId="77777777" w:rsidR="003A2B60" w:rsidRDefault="00A5229B" w:rsidP="00A3638A">
            <w:pPr>
              <w:pStyle w:val="BodyTextIndent"/>
              <w:ind w:left="0"/>
            </w:pPr>
            <w:r>
              <w:t xml:space="preserve">Wd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313FE1E7" w14:textId="77777777" w:rsidR="003A2B60" w:rsidRPr="00D529BA" w:rsidRDefault="00A5229B" w:rsidP="00A3638A">
            <w:pPr>
              <w:pStyle w:val="BodyTextIndent"/>
              <w:ind w:left="0"/>
            </w:pPr>
            <w:r>
              <w:t>43.5</w:t>
            </w:r>
          </w:p>
        </w:tc>
      </w:tr>
      <w:tr w:rsidR="003A2B60" w:rsidRPr="00D529BA" w14:paraId="3BCCE4B4" w14:textId="77777777" w:rsidTr="00A3638A">
        <w:tc>
          <w:tcPr>
            <w:tcW w:w="1032" w:type="dxa"/>
            <w:shd w:val="clear" w:color="auto" w:fill="auto"/>
          </w:tcPr>
          <w:p w14:paraId="3A3169D5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14B5D2B2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1E60A0A0" w14:textId="77777777" w:rsidR="003A2B60" w:rsidRDefault="00A5229B" w:rsidP="00A3638A">
            <w:pPr>
              <w:pStyle w:val="BodyTextIndent"/>
              <w:ind w:left="0"/>
            </w:pPr>
            <w:r>
              <w:t>48.5</w:t>
            </w:r>
          </w:p>
        </w:tc>
        <w:tc>
          <w:tcPr>
            <w:tcW w:w="1530" w:type="dxa"/>
            <w:shd w:val="clear" w:color="auto" w:fill="auto"/>
          </w:tcPr>
          <w:p w14:paraId="7BFEE92C" w14:textId="77777777" w:rsidR="003A2B60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Maj</w:t>
            </w:r>
          </w:p>
        </w:tc>
        <w:tc>
          <w:tcPr>
            <w:tcW w:w="1779" w:type="dxa"/>
            <w:shd w:val="clear" w:color="auto" w:fill="auto"/>
          </w:tcPr>
          <w:p w14:paraId="7D442F06" w14:textId="77777777" w:rsidR="003A2B60" w:rsidRPr="00D529BA" w:rsidRDefault="00A5229B" w:rsidP="00A3638A">
            <w:pPr>
              <w:pStyle w:val="BodyTextIndent"/>
              <w:ind w:left="0"/>
            </w:pPr>
            <w:r>
              <w:t>44.1</w:t>
            </w:r>
          </w:p>
        </w:tc>
      </w:tr>
      <w:tr w:rsidR="003A2B60" w:rsidRPr="00D529BA" w14:paraId="4B681B17" w14:textId="77777777" w:rsidTr="00A3638A">
        <w:tc>
          <w:tcPr>
            <w:tcW w:w="1032" w:type="dxa"/>
            <w:shd w:val="clear" w:color="auto" w:fill="auto"/>
          </w:tcPr>
          <w:p w14:paraId="3E6E9A0B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34186ADE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27C89C71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530" w:type="dxa"/>
            <w:shd w:val="clear" w:color="auto" w:fill="auto"/>
          </w:tcPr>
          <w:p w14:paraId="56267411" w14:textId="77777777" w:rsidR="003A2B60" w:rsidRDefault="003A2B60" w:rsidP="00A3638A">
            <w:pPr>
              <w:pStyle w:val="BodyTextIndent"/>
              <w:ind w:left="0"/>
            </w:pPr>
          </w:p>
        </w:tc>
        <w:tc>
          <w:tcPr>
            <w:tcW w:w="1779" w:type="dxa"/>
            <w:shd w:val="clear" w:color="auto" w:fill="auto"/>
          </w:tcPr>
          <w:p w14:paraId="1C3F81ED" w14:textId="77777777" w:rsidR="003A2B60" w:rsidRPr="00D529BA" w:rsidRDefault="003A2B60" w:rsidP="00A3638A">
            <w:pPr>
              <w:pStyle w:val="BodyTextIndent"/>
              <w:ind w:left="0"/>
            </w:pPr>
          </w:p>
        </w:tc>
      </w:tr>
      <w:tr w:rsidR="003A2B60" w:rsidRPr="00D529BA" w14:paraId="4220C81D" w14:textId="77777777" w:rsidTr="00A3638A">
        <w:tc>
          <w:tcPr>
            <w:tcW w:w="1032" w:type="dxa"/>
            <w:shd w:val="clear" w:color="auto" w:fill="auto"/>
          </w:tcPr>
          <w:p w14:paraId="73E431D2" w14:textId="77777777" w:rsidR="003A2B60" w:rsidRDefault="00A5229B" w:rsidP="00A3638A">
            <w:pPr>
              <w:pStyle w:val="BodyTextIndent"/>
              <w:ind w:left="0"/>
            </w:pPr>
            <w:r>
              <w:t>24</w:t>
            </w:r>
          </w:p>
        </w:tc>
        <w:tc>
          <w:tcPr>
            <w:tcW w:w="937" w:type="dxa"/>
            <w:shd w:val="clear" w:color="auto" w:fill="auto"/>
          </w:tcPr>
          <w:p w14:paraId="145837C8" w14:textId="77777777" w:rsidR="003A2B60" w:rsidRDefault="00A5229B" w:rsidP="00A3638A">
            <w:pPr>
              <w:pStyle w:val="BodyTextIndent"/>
              <w:ind w:left="0"/>
            </w:pPr>
            <w:r>
              <w:t>2450</w:t>
            </w:r>
          </w:p>
        </w:tc>
        <w:tc>
          <w:tcPr>
            <w:tcW w:w="1649" w:type="dxa"/>
            <w:shd w:val="clear" w:color="auto" w:fill="auto"/>
          </w:tcPr>
          <w:p w14:paraId="1760BC1D" w14:textId="77777777" w:rsidR="003A2B60" w:rsidRDefault="00A5229B" w:rsidP="00A3638A">
            <w:pPr>
              <w:pStyle w:val="BodyTextIndent"/>
              <w:ind w:left="0"/>
            </w:pPr>
            <w:r>
              <w:t>25.0</w:t>
            </w:r>
          </w:p>
        </w:tc>
        <w:tc>
          <w:tcPr>
            <w:tcW w:w="1530" w:type="dxa"/>
            <w:shd w:val="clear" w:color="auto" w:fill="auto"/>
          </w:tcPr>
          <w:p w14:paraId="751D70CF" w14:textId="77777777" w:rsidR="003A2B60" w:rsidRDefault="00A5229B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Rw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57DB1F5" w14:textId="77777777" w:rsidR="003A2B60" w:rsidRPr="00D529BA" w:rsidRDefault="003A2B60" w:rsidP="00A3638A">
            <w:pPr>
              <w:pStyle w:val="BodyTextIndent"/>
              <w:ind w:left="0"/>
            </w:pPr>
          </w:p>
        </w:tc>
      </w:tr>
      <w:tr w:rsidR="00A5229B" w:rsidRPr="00D529BA" w14:paraId="4C4AD5C0" w14:textId="77777777" w:rsidTr="00A3638A">
        <w:tc>
          <w:tcPr>
            <w:tcW w:w="1032" w:type="dxa"/>
            <w:shd w:val="clear" w:color="auto" w:fill="auto"/>
          </w:tcPr>
          <w:p w14:paraId="7EA9DEA4" w14:textId="77777777" w:rsidR="00A5229B" w:rsidRDefault="00C21B32" w:rsidP="00A3638A">
            <w:pPr>
              <w:pStyle w:val="BodyTextIndent"/>
              <w:ind w:left="0"/>
            </w:pPr>
            <w:r>
              <w:t>24</w:t>
            </w:r>
          </w:p>
        </w:tc>
        <w:tc>
          <w:tcPr>
            <w:tcW w:w="937" w:type="dxa"/>
            <w:shd w:val="clear" w:color="auto" w:fill="auto"/>
          </w:tcPr>
          <w:p w14:paraId="55CF3F2D" w14:textId="77777777" w:rsidR="00A5229B" w:rsidRDefault="00A5229B" w:rsidP="00A3638A">
            <w:pPr>
              <w:pStyle w:val="BodyTextIndent"/>
              <w:ind w:left="0"/>
            </w:pPr>
            <w:r>
              <w:t>2673</w:t>
            </w:r>
          </w:p>
        </w:tc>
        <w:tc>
          <w:tcPr>
            <w:tcW w:w="1649" w:type="dxa"/>
            <w:shd w:val="clear" w:color="auto" w:fill="auto"/>
          </w:tcPr>
          <w:p w14:paraId="0AB77618" w14:textId="77777777" w:rsidR="00A5229B" w:rsidRDefault="00A5229B" w:rsidP="00A3638A">
            <w:pPr>
              <w:pStyle w:val="BodyTextIndent"/>
              <w:ind w:left="0"/>
            </w:pPr>
            <w:r>
              <w:t>33.3</w:t>
            </w:r>
          </w:p>
        </w:tc>
        <w:tc>
          <w:tcPr>
            <w:tcW w:w="1530" w:type="dxa"/>
            <w:shd w:val="clear" w:color="auto" w:fill="auto"/>
          </w:tcPr>
          <w:p w14:paraId="3B3A3AE7" w14:textId="77777777" w:rsidR="00A5229B" w:rsidRDefault="00A5229B" w:rsidP="00A3638A">
            <w:pPr>
              <w:pStyle w:val="BodyTextIndent"/>
              <w:ind w:left="0"/>
            </w:pPr>
            <w:r>
              <w:t>Pc + Pv</w:t>
            </w:r>
          </w:p>
        </w:tc>
        <w:tc>
          <w:tcPr>
            <w:tcW w:w="1779" w:type="dxa"/>
            <w:shd w:val="clear" w:color="auto" w:fill="auto"/>
          </w:tcPr>
          <w:p w14:paraId="43F294FF" w14:textId="77777777" w:rsidR="00A5229B" w:rsidRPr="00D529BA" w:rsidRDefault="00A5229B" w:rsidP="00A3638A">
            <w:pPr>
              <w:pStyle w:val="BodyTextIndent"/>
              <w:ind w:left="0"/>
            </w:pPr>
          </w:p>
        </w:tc>
      </w:tr>
      <w:tr w:rsidR="00A5229B" w:rsidRPr="00D529BA" w14:paraId="3A204B31" w14:textId="77777777" w:rsidTr="00A3638A">
        <w:tc>
          <w:tcPr>
            <w:tcW w:w="1032" w:type="dxa"/>
            <w:shd w:val="clear" w:color="auto" w:fill="auto"/>
          </w:tcPr>
          <w:p w14:paraId="6DF6FBCB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37267ACE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A420594" w14:textId="77777777" w:rsidR="00A5229B" w:rsidRDefault="00A5229B" w:rsidP="00A3638A">
            <w:pPr>
              <w:pStyle w:val="BodyTextIndent"/>
              <w:ind w:left="0"/>
            </w:pPr>
            <w:r>
              <w:t>50.0</w:t>
            </w:r>
          </w:p>
        </w:tc>
        <w:tc>
          <w:tcPr>
            <w:tcW w:w="1530" w:type="dxa"/>
            <w:shd w:val="clear" w:color="auto" w:fill="auto"/>
          </w:tcPr>
          <w:p w14:paraId="31DCE951" w14:textId="77777777" w:rsidR="00A5229B" w:rsidRDefault="00A5229B" w:rsidP="00A3638A">
            <w:pPr>
              <w:pStyle w:val="BodyTextIndent"/>
              <w:ind w:left="0"/>
            </w:pPr>
            <w:r>
              <w:t>Pv</w:t>
            </w:r>
          </w:p>
        </w:tc>
        <w:tc>
          <w:tcPr>
            <w:tcW w:w="1779" w:type="dxa"/>
            <w:shd w:val="clear" w:color="auto" w:fill="auto"/>
          </w:tcPr>
          <w:p w14:paraId="02EF8725" w14:textId="77777777" w:rsidR="00A5229B" w:rsidRPr="00D529BA" w:rsidRDefault="00A5229B" w:rsidP="00A3638A">
            <w:pPr>
              <w:pStyle w:val="BodyTextIndent"/>
              <w:ind w:left="0"/>
            </w:pPr>
          </w:p>
        </w:tc>
      </w:tr>
      <w:tr w:rsidR="00A5229B" w:rsidRPr="00D529BA" w14:paraId="5F633940" w14:textId="77777777" w:rsidTr="00A3638A">
        <w:tc>
          <w:tcPr>
            <w:tcW w:w="1032" w:type="dxa"/>
            <w:shd w:val="clear" w:color="auto" w:fill="auto"/>
          </w:tcPr>
          <w:p w14:paraId="03F16BDA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5FC33487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EC310EF" w14:textId="77777777" w:rsidR="00A5229B" w:rsidRDefault="00A5229B" w:rsidP="00A3638A">
            <w:pPr>
              <w:pStyle w:val="BodyTextIndent"/>
              <w:ind w:left="0"/>
            </w:pPr>
            <w:r>
              <w:t>62.5</w:t>
            </w:r>
          </w:p>
        </w:tc>
        <w:tc>
          <w:tcPr>
            <w:tcW w:w="1530" w:type="dxa"/>
            <w:shd w:val="clear" w:color="auto" w:fill="auto"/>
          </w:tcPr>
          <w:p w14:paraId="7C6D7E42" w14:textId="77777777" w:rsidR="00A5229B" w:rsidRDefault="00A5229B" w:rsidP="00A3638A">
            <w:pPr>
              <w:pStyle w:val="BodyTextIndent"/>
              <w:ind w:left="0"/>
            </w:pPr>
            <w:r>
              <w:t>Pv + St</w:t>
            </w:r>
          </w:p>
        </w:tc>
        <w:tc>
          <w:tcPr>
            <w:tcW w:w="1779" w:type="dxa"/>
            <w:shd w:val="clear" w:color="auto" w:fill="auto"/>
          </w:tcPr>
          <w:p w14:paraId="0F91973A" w14:textId="77777777" w:rsidR="00A5229B" w:rsidRPr="00D529BA" w:rsidRDefault="00A5229B" w:rsidP="00A3638A">
            <w:pPr>
              <w:pStyle w:val="BodyTextIndent"/>
              <w:ind w:left="0"/>
            </w:pPr>
          </w:p>
        </w:tc>
      </w:tr>
      <w:tr w:rsidR="00A5229B" w:rsidRPr="00D529BA" w14:paraId="42A5AA09" w14:textId="77777777" w:rsidTr="00A3638A">
        <w:tc>
          <w:tcPr>
            <w:tcW w:w="1032" w:type="dxa"/>
            <w:shd w:val="clear" w:color="auto" w:fill="auto"/>
          </w:tcPr>
          <w:p w14:paraId="7C983A64" w14:textId="77777777" w:rsidR="00A5229B" w:rsidRDefault="00C21B32" w:rsidP="00A3638A">
            <w:pPr>
              <w:pStyle w:val="BodyTextIndent"/>
              <w:ind w:left="0"/>
            </w:pPr>
            <w:r>
              <w:t>24</w:t>
            </w:r>
          </w:p>
        </w:tc>
        <w:tc>
          <w:tcPr>
            <w:tcW w:w="937" w:type="dxa"/>
            <w:shd w:val="clear" w:color="auto" w:fill="auto"/>
          </w:tcPr>
          <w:p w14:paraId="77050EFA" w14:textId="77777777" w:rsidR="00A5229B" w:rsidRDefault="00A5229B" w:rsidP="00A3638A">
            <w:pPr>
              <w:pStyle w:val="BodyTextIndent"/>
              <w:ind w:left="0"/>
            </w:pPr>
            <w:r>
              <w:t>2764</w:t>
            </w:r>
          </w:p>
        </w:tc>
        <w:tc>
          <w:tcPr>
            <w:tcW w:w="1649" w:type="dxa"/>
            <w:shd w:val="clear" w:color="auto" w:fill="auto"/>
          </w:tcPr>
          <w:p w14:paraId="181C8861" w14:textId="77777777" w:rsidR="00A5229B" w:rsidRDefault="00A5229B" w:rsidP="00A3638A">
            <w:pPr>
              <w:pStyle w:val="BodyTextIndent"/>
              <w:ind w:left="0"/>
            </w:pPr>
            <w:r>
              <w:t>33.3</w:t>
            </w:r>
          </w:p>
        </w:tc>
        <w:tc>
          <w:tcPr>
            <w:tcW w:w="1530" w:type="dxa"/>
            <w:shd w:val="clear" w:color="auto" w:fill="auto"/>
          </w:tcPr>
          <w:p w14:paraId="19A8B8F3" w14:textId="77777777" w:rsidR="00A5229B" w:rsidRDefault="00A5229B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78CBEF3B" w14:textId="77777777" w:rsidR="00A5229B" w:rsidRPr="00D529BA" w:rsidRDefault="00A5229B" w:rsidP="00A3638A">
            <w:pPr>
              <w:pStyle w:val="BodyTextIndent"/>
              <w:ind w:left="0"/>
            </w:pPr>
            <w:r>
              <w:t>43.0</w:t>
            </w:r>
          </w:p>
        </w:tc>
      </w:tr>
      <w:tr w:rsidR="00A5229B" w:rsidRPr="00D529BA" w14:paraId="431463E9" w14:textId="77777777" w:rsidTr="00A3638A">
        <w:tc>
          <w:tcPr>
            <w:tcW w:w="1032" w:type="dxa"/>
            <w:shd w:val="clear" w:color="auto" w:fill="auto"/>
          </w:tcPr>
          <w:p w14:paraId="687901FE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054E6E9B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2CF5D10E" w14:textId="77777777" w:rsidR="00A5229B" w:rsidRDefault="00A5229B" w:rsidP="00A3638A">
            <w:pPr>
              <w:pStyle w:val="BodyTextIndent"/>
              <w:ind w:left="0"/>
            </w:pPr>
            <w:r>
              <w:t>43.7</w:t>
            </w:r>
          </w:p>
        </w:tc>
        <w:tc>
          <w:tcPr>
            <w:tcW w:w="1530" w:type="dxa"/>
            <w:shd w:val="clear" w:color="auto" w:fill="auto"/>
          </w:tcPr>
          <w:p w14:paraId="6D61C805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5B436206" w14:textId="77777777" w:rsidR="00A5229B" w:rsidRPr="00D529BA" w:rsidRDefault="00A5229B" w:rsidP="00A3638A">
            <w:pPr>
              <w:pStyle w:val="BodyTextIndent"/>
              <w:ind w:left="0"/>
            </w:pPr>
            <w:r>
              <w:t>43.7</w:t>
            </w:r>
          </w:p>
        </w:tc>
      </w:tr>
      <w:tr w:rsidR="00A5229B" w:rsidRPr="00D529BA" w14:paraId="2E0F6222" w14:textId="77777777" w:rsidTr="00A3638A">
        <w:tc>
          <w:tcPr>
            <w:tcW w:w="1032" w:type="dxa"/>
            <w:shd w:val="clear" w:color="auto" w:fill="auto"/>
          </w:tcPr>
          <w:p w14:paraId="0049B26C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64E855E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2D5F4077" w14:textId="77777777" w:rsidR="00A5229B" w:rsidRDefault="00A5229B" w:rsidP="00A3638A">
            <w:pPr>
              <w:pStyle w:val="BodyTextIndent"/>
              <w:ind w:left="0"/>
            </w:pPr>
            <w:r>
              <w:t>50.0</w:t>
            </w:r>
          </w:p>
        </w:tc>
        <w:tc>
          <w:tcPr>
            <w:tcW w:w="1530" w:type="dxa"/>
            <w:shd w:val="clear" w:color="auto" w:fill="auto"/>
          </w:tcPr>
          <w:p w14:paraId="3A38EAE0" w14:textId="77777777" w:rsidR="00A5229B" w:rsidRDefault="00A5229B" w:rsidP="00A3638A">
            <w:pPr>
              <w:pStyle w:val="BodyTextIndent"/>
              <w:ind w:left="0"/>
            </w:pPr>
            <w:r>
              <w:t>Pv</w:t>
            </w:r>
          </w:p>
        </w:tc>
        <w:tc>
          <w:tcPr>
            <w:tcW w:w="1779" w:type="dxa"/>
            <w:shd w:val="clear" w:color="auto" w:fill="auto"/>
          </w:tcPr>
          <w:p w14:paraId="34975E74" w14:textId="77777777" w:rsidR="00A5229B" w:rsidRPr="00D529BA" w:rsidRDefault="00A5229B" w:rsidP="00A3638A">
            <w:pPr>
              <w:pStyle w:val="BodyTextIndent"/>
              <w:ind w:left="0"/>
            </w:pPr>
          </w:p>
        </w:tc>
      </w:tr>
      <w:tr w:rsidR="00A5229B" w:rsidRPr="00D529BA" w14:paraId="0C800A12" w14:textId="77777777" w:rsidTr="00A3638A">
        <w:tc>
          <w:tcPr>
            <w:tcW w:w="1032" w:type="dxa"/>
            <w:shd w:val="clear" w:color="auto" w:fill="auto"/>
          </w:tcPr>
          <w:p w14:paraId="1F346B99" w14:textId="77777777" w:rsidR="00A5229B" w:rsidRDefault="00C21B32" w:rsidP="00A3638A">
            <w:pPr>
              <w:pStyle w:val="BodyTextIndent"/>
              <w:ind w:left="0"/>
            </w:pPr>
            <w:r>
              <w:t>24</w:t>
            </w:r>
          </w:p>
        </w:tc>
        <w:tc>
          <w:tcPr>
            <w:tcW w:w="937" w:type="dxa"/>
            <w:shd w:val="clear" w:color="auto" w:fill="auto"/>
          </w:tcPr>
          <w:p w14:paraId="39109DBB" w14:textId="77777777" w:rsidR="00A5229B" w:rsidRDefault="00A5229B" w:rsidP="00A3638A">
            <w:pPr>
              <w:pStyle w:val="BodyTextIndent"/>
              <w:ind w:left="0"/>
            </w:pPr>
            <w:r>
              <w:t>2800</w:t>
            </w:r>
          </w:p>
        </w:tc>
        <w:tc>
          <w:tcPr>
            <w:tcW w:w="1649" w:type="dxa"/>
            <w:shd w:val="clear" w:color="auto" w:fill="auto"/>
          </w:tcPr>
          <w:p w14:paraId="4D7FDDE8" w14:textId="77777777" w:rsidR="00A5229B" w:rsidRDefault="00A5229B" w:rsidP="00A3638A">
            <w:pPr>
              <w:pStyle w:val="BodyTextIndent"/>
              <w:ind w:left="0"/>
            </w:pPr>
            <w:r>
              <w:t>43.3</w:t>
            </w:r>
          </w:p>
        </w:tc>
        <w:tc>
          <w:tcPr>
            <w:tcW w:w="1530" w:type="dxa"/>
            <w:shd w:val="clear" w:color="auto" w:fill="auto"/>
          </w:tcPr>
          <w:p w14:paraId="3D70F85B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31F48431" w14:textId="77777777" w:rsidR="00A5229B" w:rsidRPr="00D529BA" w:rsidRDefault="00A5229B" w:rsidP="00A3638A">
            <w:pPr>
              <w:pStyle w:val="BodyTextIndent"/>
              <w:ind w:left="0"/>
            </w:pPr>
            <w:r>
              <w:t>43.3</w:t>
            </w:r>
          </w:p>
        </w:tc>
      </w:tr>
      <w:tr w:rsidR="00A5229B" w:rsidRPr="00D529BA" w14:paraId="534BBC6C" w14:textId="77777777" w:rsidTr="00A3638A">
        <w:tc>
          <w:tcPr>
            <w:tcW w:w="1032" w:type="dxa"/>
            <w:shd w:val="clear" w:color="auto" w:fill="auto"/>
          </w:tcPr>
          <w:p w14:paraId="270F05D8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065FF6E1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2A8ECD30" w14:textId="77777777" w:rsidR="00A5229B" w:rsidRDefault="00A5229B" w:rsidP="00A3638A">
            <w:pPr>
              <w:pStyle w:val="BodyTextIndent"/>
              <w:ind w:left="0"/>
            </w:pPr>
            <w:r>
              <w:t>48.5</w:t>
            </w:r>
          </w:p>
        </w:tc>
        <w:tc>
          <w:tcPr>
            <w:tcW w:w="1530" w:type="dxa"/>
            <w:shd w:val="clear" w:color="auto" w:fill="auto"/>
          </w:tcPr>
          <w:p w14:paraId="43626DCC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Pv</w:t>
            </w:r>
          </w:p>
        </w:tc>
        <w:tc>
          <w:tcPr>
            <w:tcW w:w="1779" w:type="dxa"/>
            <w:shd w:val="clear" w:color="auto" w:fill="auto"/>
          </w:tcPr>
          <w:p w14:paraId="321B1044" w14:textId="77777777" w:rsidR="00A5229B" w:rsidRPr="00D529BA" w:rsidRDefault="00A5229B" w:rsidP="00A3638A">
            <w:pPr>
              <w:pStyle w:val="BodyTextIndent"/>
              <w:ind w:left="0"/>
            </w:pPr>
            <w:r>
              <w:t>46.6</w:t>
            </w:r>
          </w:p>
        </w:tc>
      </w:tr>
      <w:tr w:rsidR="00A5229B" w:rsidRPr="00D529BA" w14:paraId="776D91BA" w14:textId="77777777" w:rsidTr="00A3638A">
        <w:tc>
          <w:tcPr>
            <w:tcW w:w="1032" w:type="dxa"/>
            <w:shd w:val="clear" w:color="auto" w:fill="auto"/>
          </w:tcPr>
          <w:p w14:paraId="1B884C29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56DE7AF7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02026CE" w14:textId="77777777" w:rsidR="00A5229B" w:rsidRDefault="00A5229B" w:rsidP="00A3638A">
            <w:pPr>
              <w:pStyle w:val="BodyTextIndent"/>
              <w:ind w:left="0"/>
            </w:pPr>
            <w:r>
              <w:t>60</w:t>
            </w:r>
          </w:p>
        </w:tc>
        <w:tc>
          <w:tcPr>
            <w:tcW w:w="1530" w:type="dxa"/>
            <w:shd w:val="clear" w:color="auto" w:fill="auto"/>
          </w:tcPr>
          <w:p w14:paraId="5C7D74D7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St</w:t>
            </w:r>
          </w:p>
        </w:tc>
        <w:tc>
          <w:tcPr>
            <w:tcW w:w="1779" w:type="dxa"/>
            <w:shd w:val="clear" w:color="auto" w:fill="auto"/>
          </w:tcPr>
          <w:p w14:paraId="53F84B4C" w14:textId="77777777" w:rsidR="00A5229B" w:rsidRPr="00D529BA" w:rsidRDefault="00A5229B" w:rsidP="00A3638A">
            <w:pPr>
              <w:pStyle w:val="BodyTextIndent"/>
              <w:ind w:left="0"/>
            </w:pPr>
            <w:r>
              <w:t>50.9</w:t>
            </w:r>
          </w:p>
        </w:tc>
      </w:tr>
      <w:tr w:rsidR="00A5229B" w:rsidRPr="00D529BA" w14:paraId="2EA77A15" w14:textId="77777777" w:rsidTr="00A3638A">
        <w:tc>
          <w:tcPr>
            <w:tcW w:w="1032" w:type="dxa"/>
            <w:shd w:val="clear" w:color="auto" w:fill="auto"/>
          </w:tcPr>
          <w:p w14:paraId="417C74B9" w14:textId="77777777" w:rsidR="00A5229B" w:rsidRDefault="00C21B32" w:rsidP="00A3638A">
            <w:pPr>
              <w:pStyle w:val="BodyTextIndent"/>
              <w:ind w:left="0"/>
            </w:pPr>
            <w:r>
              <w:t>24</w:t>
            </w:r>
          </w:p>
        </w:tc>
        <w:tc>
          <w:tcPr>
            <w:tcW w:w="937" w:type="dxa"/>
            <w:shd w:val="clear" w:color="auto" w:fill="auto"/>
          </w:tcPr>
          <w:p w14:paraId="5E96A343" w14:textId="77777777" w:rsidR="00A5229B" w:rsidRDefault="00A5229B" w:rsidP="00A3638A">
            <w:pPr>
              <w:pStyle w:val="BodyTextIndent"/>
              <w:ind w:left="0"/>
            </w:pPr>
            <w:r>
              <w:t>2830</w:t>
            </w:r>
          </w:p>
        </w:tc>
        <w:tc>
          <w:tcPr>
            <w:tcW w:w="1649" w:type="dxa"/>
            <w:shd w:val="clear" w:color="auto" w:fill="auto"/>
          </w:tcPr>
          <w:p w14:paraId="54023B2C" w14:textId="77777777" w:rsidR="00A5229B" w:rsidRDefault="00A5229B" w:rsidP="00A3638A">
            <w:pPr>
              <w:pStyle w:val="BodyTextIndent"/>
              <w:ind w:left="0"/>
            </w:pPr>
            <w:r>
              <w:t>33.3</w:t>
            </w:r>
          </w:p>
        </w:tc>
        <w:tc>
          <w:tcPr>
            <w:tcW w:w="1530" w:type="dxa"/>
            <w:shd w:val="clear" w:color="auto" w:fill="auto"/>
          </w:tcPr>
          <w:p w14:paraId="74A4EE28" w14:textId="77777777" w:rsidR="00A5229B" w:rsidRDefault="00A5229B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7651794D" w14:textId="77777777" w:rsidR="00A5229B" w:rsidRDefault="00A5229B" w:rsidP="00A3638A">
            <w:pPr>
              <w:pStyle w:val="BodyTextIndent"/>
              <w:ind w:left="0"/>
            </w:pPr>
            <w:r>
              <w:t>41.7</w:t>
            </w:r>
          </w:p>
        </w:tc>
      </w:tr>
      <w:tr w:rsidR="00A5229B" w:rsidRPr="00D529BA" w14:paraId="56C73C0B" w14:textId="77777777" w:rsidTr="00A3638A">
        <w:tc>
          <w:tcPr>
            <w:tcW w:w="1032" w:type="dxa"/>
            <w:shd w:val="clear" w:color="auto" w:fill="auto"/>
          </w:tcPr>
          <w:p w14:paraId="6A033BE3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191D5F84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16E5FB96" w14:textId="77777777" w:rsidR="00A5229B" w:rsidRDefault="00A5229B" w:rsidP="00A3638A">
            <w:pPr>
              <w:pStyle w:val="BodyTextIndent"/>
              <w:ind w:left="0"/>
            </w:pPr>
            <w:r>
              <w:t>43.1</w:t>
            </w:r>
          </w:p>
        </w:tc>
        <w:tc>
          <w:tcPr>
            <w:tcW w:w="1530" w:type="dxa"/>
            <w:shd w:val="clear" w:color="auto" w:fill="auto"/>
          </w:tcPr>
          <w:p w14:paraId="0FF1588D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38DECF66" w14:textId="77777777" w:rsidR="00A5229B" w:rsidRDefault="00A5229B" w:rsidP="00A3638A">
            <w:pPr>
              <w:pStyle w:val="BodyTextIndent"/>
              <w:ind w:left="0"/>
            </w:pPr>
            <w:r>
              <w:t>43.1</w:t>
            </w:r>
          </w:p>
        </w:tc>
      </w:tr>
      <w:tr w:rsidR="00A5229B" w:rsidRPr="00D529BA" w14:paraId="58168652" w14:textId="77777777" w:rsidTr="00A3638A">
        <w:tc>
          <w:tcPr>
            <w:tcW w:w="1032" w:type="dxa"/>
            <w:shd w:val="clear" w:color="auto" w:fill="auto"/>
          </w:tcPr>
          <w:p w14:paraId="3457507B" w14:textId="77777777" w:rsidR="00A5229B" w:rsidRDefault="00C21B32" w:rsidP="00A3638A">
            <w:pPr>
              <w:pStyle w:val="BodyTextIndent"/>
              <w:ind w:left="0"/>
            </w:pPr>
            <w:r>
              <w:t>24</w:t>
            </w:r>
          </w:p>
        </w:tc>
        <w:tc>
          <w:tcPr>
            <w:tcW w:w="937" w:type="dxa"/>
            <w:shd w:val="clear" w:color="auto" w:fill="auto"/>
          </w:tcPr>
          <w:p w14:paraId="14B75A66" w14:textId="77777777" w:rsidR="00A5229B" w:rsidRDefault="00A5229B" w:rsidP="00A3638A">
            <w:pPr>
              <w:pStyle w:val="BodyTextIndent"/>
              <w:ind w:left="0"/>
            </w:pPr>
            <w:r>
              <w:t>2873</w:t>
            </w:r>
          </w:p>
        </w:tc>
        <w:tc>
          <w:tcPr>
            <w:tcW w:w="1649" w:type="dxa"/>
            <w:shd w:val="clear" w:color="auto" w:fill="auto"/>
          </w:tcPr>
          <w:p w14:paraId="5913BB1E" w14:textId="77777777" w:rsidR="00A5229B" w:rsidRDefault="00A5229B" w:rsidP="00A3638A">
            <w:pPr>
              <w:pStyle w:val="BodyTextIndent"/>
              <w:ind w:left="0"/>
            </w:pPr>
            <w:r>
              <w:t>33.3</w:t>
            </w:r>
          </w:p>
        </w:tc>
        <w:tc>
          <w:tcPr>
            <w:tcW w:w="1530" w:type="dxa"/>
            <w:shd w:val="clear" w:color="auto" w:fill="auto"/>
          </w:tcPr>
          <w:p w14:paraId="64FE5359" w14:textId="77777777" w:rsidR="00A5229B" w:rsidRDefault="00A5229B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BD07B4A" w14:textId="77777777" w:rsidR="00A5229B" w:rsidRDefault="00A5229B" w:rsidP="00A3638A">
            <w:pPr>
              <w:pStyle w:val="BodyTextIndent"/>
              <w:ind w:left="0"/>
            </w:pPr>
            <w:r>
              <w:t>41.8</w:t>
            </w:r>
          </w:p>
        </w:tc>
      </w:tr>
      <w:tr w:rsidR="00A5229B" w:rsidRPr="00D529BA" w14:paraId="07508740" w14:textId="77777777" w:rsidTr="00A3638A">
        <w:tc>
          <w:tcPr>
            <w:tcW w:w="1032" w:type="dxa"/>
            <w:shd w:val="clear" w:color="auto" w:fill="auto"/>
          </w:tcPr>
          <w:p w14:paraId="732BD9B8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744C5131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2ED3ADA0" w14:textId="77777777" w:rsidR="00A5229B" w:rsidRDefault="00A5229B" w:rsidP="00A3638A">
            <w:pPr>
              <w:pStyle w:val="BodyTextIndent"/>
              <w:ind w:left="0"/>
            </w:pPr>
            <w:r>
              <w:t>49.5</w:t>
            </w:r>
          </w:p>
        </w:tc>
        <w:tc>
          <w:tcPr>
            <w:tcW w:w="1530" w:type="dxa"/>
            <w:shd w:val="clear" w:color="auto" w:fill="auto"/>
          </w:tcPr>
          <w:p w14:paraId="09B8B177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D7CC9A5" w14:textId="77777777" w:rsidR="00A5229B" w:rsidRDefault="00A5229B" w:rsidP="00A3638A">
            <w:pPr>
              <w:pStyle w:val="BodyTextIndent"/>
              <w:ind w:left="0"/>
            </w:pPr>
            <w:r>
              <w:t>49.5</w:t>
            </w:r>
          </w:p>
        </w:tc>
      </w:tr>
      <w:tr w:rsidR="00A5229B" w:rsidRPr="00D529BA" w14:paraId="1DC4CFA3" w14:textId="77777777" w:rsidTr="00A3638A">
        <w:tc>
          <w:tcPr>
            <w:tcW w:w="1032" w:type="dxa"/>
            <w:shd w:val="clear" w:color="auto" w:fill="auto"/>
          </w:tcPr>
          <w:p w14:paraId="37616097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DC35F7E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B33280F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530" w:type="dxa"/>
            <w:shd w:val="clear" w:color="auto" w:fill="auto"/>
          </w:tcPr>
          <w:p w14:paraId="3494A5A3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779" w:type="dxa"/>
            <w:shd w:val="clear" w:color="auto" w:fill="auto"/>
          </w:tcPr>
          <w:p w14:paraId="45A31E0E" w14:textId="77777777" w:rsidR="00A5229B" w:rsidRDefault="00A5229B" w:rsidP="00A3638A">
            <w:pPr>
              <w:pStyle w:val="BodyTextIndent"/>
              <w:ind w:left="0"/>
            </w:pPr>
          </w:p>
        </w:tc>
      </w:tr>
      <w:tr w:rsidR="00A5229B" w:rsidRPr="00D529BA" w14:paraId="7560CB3D" w14:textId="77777777" w:rsidTr="00A3638A">
        <w:tc>
          <w:tcPr>
            <w:tcW w:w="1032" w:type="dxa"/>
            <w:shd w:val="clear" w:color="auto" w:fill="auto"/>
          </w:tcPr>
          <w:p w14:paraId="225E5DCF" w14:textId="77777777" w:rsidR="00A5229B" w:rsidRDefault="00A5229B" w:rsidP="00A3638A">
            <w:pPr>
              <w:pStyle w:val="BodyTextIndent"/>
              <w:ind w:left="0"/>
            </w:pPr>
            <w:r>
              <w:t>26</w:t>
            </w:r>
          </w:p>
        </w:tc>
        <w:tc>
          <w:tcPr>
            <w:tcW w:w="937" w:type="dxa"/>
            <w:shd w:val="clear" w:color="auto" w:fill="auto"/>
          </w:tcPr>
          <w:p w14:paraId="19418D84" w14:textId="77777777" w:rsidR="00A5229B" w:rsidRDefault="00A5229B" w:rsidP="00A3638A">
            <w:pPr>
              <w:pStyle w:val="BodyTextIndent"/>
              <w:ind w:left="0"/>
            </w:pPr>
            <w:r>
              <w:t>2800</w:t>
            </w:r>
          </w:p>
        </w:tc>
        <w:tc>
          <w:tcPr>
            <w:tcW w:w="1649" w:type="dxa"/>
            <w:shd w:val="clear" w:color="auto" w:fill="auto"/>
          </w:tcPr>
          <w:p w14:paraId="02DEC717" w14:textId="77777777" w:rsidR="00A5229B" w:rsidRDefault="00A5229B" w:rsidP="00A3638A">
            <w:pPr>
              <w:pStyle w:val="BodyTextIndent"/>
              <w:ind w:left="0"/>
            </w:pPr>
            <w:r>
              <w:t>37.5</w:t>
            </w:r>
          </w:p>
        </w:tc>
        <w:tc>
          <w:tcPr>
            <w:tcW w:w="1530" w:type="dxa"/>
            <w:shd w:val="clear" w:color="auto" w:fill="auto"/>
          </w:tcPr>
          <w:p w14:paraId="3788716E" w14:textId="77777777" w:rsidR="00A5229B" w:rsidRDefault="00A5229B" w:rsidP="00A3638A">
            <w:pPr>
              <w:pStyle w:val="BodyTextIndent"/>
              <w:ind w:left="0"/>
            </w:pPr>
            <w:r>
              <w:t xml:space="preserve">Pc + </w:t>
            </w: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08746C06" w14:textId="77777777" w:rsidR="00A5229B" w:rsidRDefault="00A5229B" w:rsidP="00A3638A">
            <w:pPr>
              <w:pStyle w:val="BodyTextIndent"/>
              <w:ind w:left="0"/>
            </w:pPr>
            <w:r>
              <w:t>41.7</w:t>
            </w:r>
          </w:p>
        </w:tc>
      </w:tr>
      <w:tr w:rsidR="00A5229B" w:rsidRPr="00D529BA" w14:paraId="6287C76C" w14:textId="77777777" w:rsidTr="00A3638A">
        <w:tc>
          <w:tcPr>
            <w:tcW w:w="1032" w:type="dxa"/>
            <w:shd w:val="clear" w:color="auto" w:fill="auto"/>
          </w:tcPr>
          <w:p w14:paraId="1D61D1AF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4CB5D70D" w14:textId="77777777" w:rsidR="00A5229B" w:rsidRDefault="00A5229B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7707FB91" w14:textId="77777777" w:rsidR="00A5229B" w:rsidRDefault="00A5229B" w:rsidP="00A3638A">
            <w:pPr>
              <w:pStyle w:val="BodyTextIndent"/>
              <w:ind w:left="0"/>
            </w:pPr>
            <w:r>
              <w:t>45.8</w:t>
            </w:r>
          </w:p>
        </w:tc>
        <w:tc>
          <w:tcPr>
            <w:tcW w:w="1530" w:type="dxa"/>
            <w:shd w:val="clear" w:color="auto" w:fill="auto"/>
          </w:tcPr>
          <w:p w14:paraId="084ACE75" w14:textId="77777777" w:rsidR="00A5229B" w:rsidRDefault="00A5229B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Pv</w:t>
            </w:r>
          </w:p>
        </w:tc>
        <w:tc>
          <w:tcPr>
            <w:tcW w:w="1779" w:type="dxa"/>
            <w:shd w:val="clear" w:color="auto" w:fill="auto"/>
          </w:tcPr>
          <w:p w14:paraId="38DF1DD2" w14:textId="77777777" w:rsidR="00A5229B" w:rsidRDefault="00A5229B" w:rsidP="00A3638A">
            <w:pPr>
              <w:pStyle w:val="BodyTextIndent"/>
              <w:ind w:left="0"/>
            </w:pPr>
            <w:r>
              <w:t>42.8</w:t>
            </w:r>
          </w:p>
        </w:tc>
      </w:tr>
      <w:tr w:rsidR="00A5229B" w:rsidRPr="00D529BA" w14:paraId="5EF5D5EB" w14:textId="77777777" w:rsidTr="00A3638A">
        <w:tc>
          <w:tcPr>
            <w:tcW w:w="1032" w:type="dxa"/>
            <w:shd w:val="clear" w:color="auto" w:fill="auto"/>
          </w:tcPr>
          <w:p w14:paraId="0DFA54AD" w14:textId="77777777" w:rsidR="00A5229B" w:rsidRDefault="00C21B32" w:rsidP="00A3638A">
            <w:pPr>
              <w:pStyle w:val="BodyTextIndent"/>
              <w:ind w:left="0"/>
            </w:pPr>
            <w:r>
              <w:t>26</w:t>
            </w:r>
          </w:p>
        </w:tc>
        <w:tc>
          <w:tcPr>
            <w:tcW w:w="937" w:type="dxa"/>
            <w:shd w:val="clear" w:color="auto" w:fill="auto"/>
          </w:tcPr>
          <w:p w14:paraId="578F2D8A" w14:textId="77777777" w:rsidR="00A5229B" w:rsidRDefault="00A5229B" w:rsidP="00A3638A">
            <w:pPr>
              <w:pStyle w:val="BodyTextIndent"/>
              <w:ind w:left="0"/>
            </w:pPr>
            <w:r>
              <w:t>2850</w:t>
            </w:r>
          </w:p>
        </w:tc>
        <w:tc>
          <w:tcPr>
            <w:tcW w:w="1649" w:type="dxa"/>
            <w:shd w:val="clear" w:color="auto" w:fill="auto"/>
          </w:tcPr>
          <w:p w14:paraId="2AD2E5EB" w14:textId="77777777" w:rsidR="00A5229B" w:rsidRDefault="00C21B32" w:rsidP="00A3638A">
            <w:pPr>
              <w:pStyle w:val="BodyTextIndent"/>
              <w:ind w:left="0"/>
            </w:pPr>
            <w:r>
              <w:t>48.5</w:t>
            </w:r>
          </w:p>
        </w:tc>
        <w:tc>
          <w:tcPr>
            <w:tcW w:w="1530" w:type="dxa"/>
            <w:shd w:val="clear" w:color="auto" w:fill="auto"/>
          </w:tcPr>
          <w:p w14:paraId="77CB3997" w14:textId="77777777" w:rsidR="00A5229B" w:rsidRDefault="00C21B32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Pv</w:t>
            </w:r>
          </w:p>
        </w:tc>
        <w:tc>
          <w:tcPr>
            <w:tcW w:w="1779" w:type="dxa"/>
            <w:shd w:val="clear" w:color="auto" w:fill="auto"/>
          </w:tcPr>
          <w:p w14:paraId="4A6D5229" w14:textId="77777777" w:rsidR="00A5229B" w:rsidRDefault="00C21B32" w:rsidP="00A3638A">
            <w:pPr>
              <w:pStyle w:val="BodyTextIndent"/>
              <w:ind w:left="0"/>
            </w:pPr>
            <w:r>
              <w:t>45.0</w:t>
            </w:r>
          </w:p>
        </w:tc>
      </w:tr>
      <w:tr w:rsidR="00C21B32" w:rsidRPr="00D529BA" w14:paraId="5CDC7DCA" w14:textId="77777777" w:rsidTr="00A3638A">
        <w:tc>
          <w:tcPr>
            <w:tcW w:w="1032" w:type="dxa"/>
            <w:shd w:val="clear" w:color="auto" w:fill="auto"/>
          </w:tcPr>
          <w:p w14:paraId="181C8F36" w14:textId="77777777" w:rsidR="00C21B32" w:rsidRDefault="00C21B32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1AAEC13E" w14:textId="77777777" w:rsidR="00C21B32" w:rsidRDefault="00C21B32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3D382AF6" w14:textId="77777777" w:rsidR="00C21B32" w:rsidRDefault="00C21B32" w:rsidP="00A3638A">
            <w:pPr>
              <w:pStyle w:val="BodyTextIndent"/>
              <w:ind w:left="0"/>
            </w:pPr>
            <w:r>
              <w:t>60.0</w:t>
            </w:r>
          </w:p>
        </w:tc>
        <w:tc>
          <w:tcPr>
            <w:tcW w:w="1530" w:type="dxa"/>
            <w:shd w:val="clear" w:color="auto" w:fill="auto"/>
          </w:tcPr>
          <w:p w14:paraId="2ED4E520" w14:textId="77777777" w:rsidR="00C21B32" w:rsidRDefault="00C21B32" w:rsidP="00A3638A">
            <w:pPr>
              <w:pStyle w:val="BodyTextIndent"/>
              <w:ind w:left="0"/>
            </w:pPr>
            <w:r>
              <w:t>Pv + St</w:t>
            </w:r>
          </w:p>
        </w:tc>
        <w:tc>
          <w:tcPr>
            <w:tcW w:w="1779" w:type="dxa"/>
            <w:shd w:val="clear" w:color="auto" w:fill="auto"/>
          </w:tcPr>
          <w:p w14:paraId="3866DA96" w14:textId="77777777" w:rsidR="00C21B32" w:rsidRDefault="00C21B32" w:rsidP="00A3638A">
            <w:pPr>
              <w:pStyle w:val="BodyTextIndent"/>
              <w:ind w:left="0"/>
            </w:pPr>
          </w:p>
        </w:tc>
      </w:tr>
      <w:tr w:rsidR="00C21B32" w:rsidRPr="00D529BA" w14:paraId="216CA4F1" w14:textId="77777777" w:rsidTr="00A3638A">
        <w:tc>
          <w:tcPr>
            <w:tcW w:w="1032" w:type="dxa"/>
            <w:shd w:val="clear" w:color="auto" w:fill="auto"/>
          </w:tcPr>
          <w:p w14:paraId="11D28B4C" w14:textId="77777777" w:rsidR="00C21B32" w:rsidRDefault="00C21B32" w:rsidP="00A3638A">
            <w:pPr>
              <w:pStyle w:val="BodyTextIndent"/>
              <w:ind w:left="0"/>
            </w:pPr>
            <w:r>
              <w:t>26</w:t>
            </w:r>
          </w:p>
        </w:tc>
        <w:tc>
          <w:tcPr>
            <w:tcW w:w="937" w:type="dxa"/>
            <w:shd w:val="clear" w:color="auto" w:fill="auto"/>
          </w:tcPr>
          <w:p w14:paraId="55369F13" w14:textId="77777777" w:rsidR="00C21B32" w:rsidRDefault="00C21B32" w:rsidP="00A3638A">
            <w:pPr>
              <w:pStyle w:val="BodyTextIndent"/>
              <w:ind w:left="0"/>
            </w:pPr>
            <w:r>
              <w:t>2873</w:t>
            </w:r>
          </w:p>
        </w:tc>
        <w:tc>
          <w:tcPr>
            <w:tcW w:w="1649" w:type="dxa"/>
            <w:shd w:val="clear" w:color="auto" w:fill="auto"/>
          </w:tcPr>
          <w:p w14:paraId="2B818C26" w14:textId="77777777" w:rsidR="00C21B32" w:rsidRDefault="00C21B32" w:rsidP="00A3638A">
            <w:pPr>
              <w:pStyle w:val="BodyTextIndent"/>
              <w:ind w:left="0"/>
            </w:pPr>
            <w:r>
              <w:t>42.6</w:t>
            </w:r>
          </w:p>
        </w:tc>
        <w:tc>
          <w:tcPr>
            <w:tcW w:w="1530" w:type="dxa"/>
            <w:shd w:val="clear" w:color="auto" w:fill="auto"/>
          </w:tcPr>
          <w:p w14:paraId="23EA4507" w14:textId="77777777" w:rsidR="00C21B32" w:rsidRDefault="00C21B32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14:paraId="6D66F25C" w14:textId="77777777" w:rsidR="00C21B32" w:rsidRDefault="00C21B32" w:rsidP="00A3638A">
            <w:pPr>
              <w:pStyle w:val="BodyTextIndent"/>
              <w:ind w:left="0"/>
            </w:pPr>
            <w:r>
              <w:t>42.6</w:t>
            </w:r>
          </w:p>
        </w:tc>
      </w:tr>
      <w:tr w:rsidR="00C21B32" w:rsidRPr="00D529BA" w14:paraId="2005B781" w14:textId="77777777" w:rsidTr="00A3638A">
        <w:tc>
          <w:tcPr>
            <w:tcW w:w="1032" w:type="dxa"/>
            <w:shd w:val="clear" w:color="auto" w:fill="auto"/>
          </w:tcPr>
          <w:p w14:paraId="60006C38" w14:textId="77777777" w:rsidR="00C21B32" w:rsidRDefault="00C21B32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0B4482CE" w14:textId="77777777" w:rsidR="00C21B32" w:rsidRDefault="00C21B32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5E5ABFDF" w14:textId="77777777" w:rsidR="00C21B32" w:rsidRDefault="00C21B32" w:rsidP="00A3638A">
            <w:pPr>
              <w:pStyle w:val="BodyTextIndent"/>
              <w:ind w:left="0"/>
            </w:pPr>
            <w:r>
              <w:t>48.5</w:t>
            </w:r>
          </w:p>
        </w:tc>
        <w:tc>
          <w:tcPr>
            <w:tcW w:w="1530" w:type="dxa"/>
            <w:shd w:val="clear" w:color="auto" w:fill="auto"/>
          </w:tcPr>
          <w:p w14:paraId="5A7FC033" w14:textId="77777777" w:rsidR="00C21B32" w:rsidRDefault="00C21B32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Pv</w:t>
            </w:r>
          </w:p>
        </w:tc>
        <w:tc>
          <w:tcPr>
            <w:tcW w:w="1779" w:type="dxa"/>
            <w:shd w:val="clear" w:color="auto" w:fill="auto"/>
          </w:tcPr>
          <w:p w14:paraId="71FD5DD5" w14:textId="77777777" w:rsidR="00C21B32" w:rsidRDefault="00C21B32" w:rsidP="00A3638A">
            <w:pPr>
              <w:pStyle w:val="BodyTextIndent"/>
              <w:ind w:left="0"/>
            </w:pPr>
            <w:r>
              <w:t>47.8</w:t>
            </w:r>
          </w:p>
        </w:tc>
      </w:tr>
      <w:tr w:rsidR="00C21B32" w:rsidRPr="00D529BA" w14:paraId="4D7986B5" w14:textId="77777777" w:rsidTr="00A3638A">
        <w:tc>
          <w:tcPr>
            <w:tcW w:w="1032" w:type="dxa"/>
            <w:shd w:val="clear" w:color="auto" w:fill="auto"/>
          </w:tcPr>
          <w:p w14:paraId="165DA4E9" w14:textId="77777777" w:rsidR="00C21B32" w:rsidRDefault="00C21B32" w:rsidP="00A3638A">
            <w:pPr>
              <w:pStyle w:val="BodyTextIndent"/>
              <w:ind w:left="0"/>
            </w:pPr>
          </w:p>
        </w:tc>
        <w:tc>
          <w:tcPr>
            <w:tcW w:w="937" w:type="dxa"/>
            <w:shd w:val="clear" w:color="auto" w:fill="auto"/>
          </w:tcPr>
          <w:p w14:paraId="218C3857" w14:textId="77777777" w:rsidR="00C21B32" w:rsidRDefault="00C21B32" w:rsidP="00A3638A">
            <w:pPr>
              <w:pStyle w:val="BodyTextIndent"/>
              <w:ind w:left="0"/>
            </w:pPr>
          </w:p>
        </w:tc>
        <w:tc>
          <w:tcPr>
            <w:tcW w:w="1649" w:type="dxa"/>
            <w:shd w:val="clear" w:color="auto" w:fill="auto"/>
          </w:tcPr>
          <w:p w14:paraId="1B5A3634" w14:textId="77777777" w:rsidR="00C21B32" w:rsidRDefault="00C21B32" w:rsidP="00A3638A">
            <w:pPr>
              <w:pStyle w:val="BodyTextIndent"/>
              <w:ind w:left="0"/>
            </w:pPr>
            <w:r>
              <w:t>60.0</w:t>
            </w:r>
          </w:p>
        </w:tc>
        <w:tc>
          <w:tcPr>
            <w:tcW w:w="1530" w:type="dxa"/>
            <w:shd w:val="clear" w:color="auto" w:fill="auto"/>
          </w:tcPr>
          <w:p w14:paraId="6EDE1F23" w14:textId="77777777" w:rsidR="00C21B32" w:rsidRDefault="00C21B32" w:rsidP="00A3638A">
            <w:pPr>
              <w:pStyle w:val="BodyTextIndent"/>
              <w:ind w:left="0"/>
            </w:pPr>
            <w:proofErr w:type="spellStart"/>
            <w:r>
              <w:t>Liq</w:t>
            </w:r>
            <w:proofErr w:type="spellEnd"/>
            <w:r>
              <w:t xml:space="preserve"> + St</w:t>
            </w:r>
          </w:p>
        </w:tc>
        <w:tc>
          <w:tcPr>
            <w:tcW w:w="1779" w:type="dxa"/>
            <w:shd w:val="clear" w:color="auto" w:fill="auto"/>
          </w:tcPr>
          <w:p w14:paraId="5A5D6F09" w14:textId="77777777" w:rsidR="00C21B32" w:rsidRDefault="00C21B32" w:rsidP="00A3638A">
            <w:pPr>
              <w:pStyle w:val="BodyTextIndent"/>
              <w:ind w:left="0"/>
            </w:pPr>
            <w:r>
              <w:t>52.0</w:t>
            </w:r>
          </w:p>
        </w:tc>
      </w:tr>
    </w:tbl>
    <w:p w14:paraId="4A31B0CF" w14:textId="77777777" w:rsidR="00851007" w:rsidRPr="00D529BA" w:rsidRDefault="00851007" w:rsidP="00851007">
      <w:pPr>
        <w:pStyle w:val="BodyTextIndent"/>
        <w:ind w:left="0"/>
      </w:pPr>
    </w:p>
    <w:sectPr w:rsidR="00851007" w:rsidRPr="00D529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DD7"/>
    <w:multiLevelType w:val="hybridMultilevel"/>
    <w:tmpl w:val="7A602964"/>
    <w:lvl w:ilvl="0" w:tplc="B1A47D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861B7D"/>
    <w:multiLevelType w:val="hybridMultilevel"/>
    <w:tmpl w:val="A4164D92"/>
    <w:lvl w:ilvl="0" w:tplc="F2CC3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80471"/>
    <w:multiLevelType w:val="hybridMultilevel"/>
    <w:tmpl w:val="475610C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45D820DB"/>
    <w:multiLevelType w:val="hybridMultilevel"/>
    <w:tmpl w:val="18C82926"/>
    <w:lvl w:ilvl="0" w:tplc="41FCCE1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0FF5892"/>
    <w:multiLevelType w:val="hybridMultilevel"/>
    <w:tmpl w:val="4BB27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953EE0"/>
    <w:multiLevelType w:val="hybridMultilevel"/>
    <w:tmpl w:val="DBB4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35953"/>
    <w:multiLevelType w:val="hybridMultilevel"/>
    <w:tmpl w:val="DBB43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534F5"/>
    <w:multiLevelType w:val="hybridMultilevel"/>
    <w:tmpl w:val="4934C87E"/>
    <w:lvl w:ilvl="0" w:tplc="C87480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97D0710"/>
    <w:multiLevelType w:val="hybridMultilevel"/>
    <w:tmpl w:val="9F0E6224"/>
    <w:lvl w:ilvl="0" w:tplc="071E5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B"/>
    <w:rsid w:val="00233E8B"/>
    <w:rsid w:val="003329CA"/>
    <w:rsid w:val="00334C64"/>
    <w:rsid w:val="003A2B60"/>
    <w:rsid w:val="00472B3E"/>
    <w:rsid w:val="006B390C"/>
    <w:rsid w:val="00815F0D"/>
    <w:rsid w:val="00851007"/>
    <w:rsid w:val="008C047F"/>
    <w:rsid w:val="00A3638A"/>
    <w:rsid w:val="00A5229B"/>
    <w:rsid w:val="00C21B32"/>
    <w:rsid w:val="00D0284B"/>
    <w:rsid w:val="00D17338"/>
    <w:rsid w:val="00D600E1"/>
    <w:rsid w:val="00E2208A"/>
    <w:rsid w:val="00F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C93BC5"/>
  <w14:defaultImageDpi w14:val="300"/>
  <w15:chartTrackingRefBased/>
  <w15:docId w15:val="{676406BB-1DA4-D448-BFAA-6D259523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uiPriority w:val="99"/>
    <w:semiHidden/>
    <w:unhideWhenUsed/>
    <w:rsid w:val="004A3A1E"/>
    <w:rPr>
      <w:color w:val="0000FF"/>
      <w:u w:val="single"/>
    </w:rPr>
  </w:style>
  <w:style w:type="table" w:styleId="TableGrid">
    <w:name w:val="Table Grid"/>
    <w:basedOn w:val="TableNormal"/>
    <w:uiPriority w:val="59"/>
    <w:rsid w:val="0085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212</vt:lpstr>
    </vt:vector>
  </TitlesOfParts>
  <Company>California Institute of Technology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212</dc:title>
  <dc:subject/>
  <dc:creator>Paul Asimow</dc:creator>
  <cp:keywords/>
  <cp:lastModifiedBy>Asimow, Paul D.</cp:lastModifiedBy>
  <cp:revision>3</cp:revision>
  <cp:lastPrinted>2007-01-17T18:58:00Z</cp:lastPrinted>
  <dcterms:created xsi:type="dcterms:W3CDTF">2019-11-30T06:26:00Z</dcterms:created>
  <dcterms:modified xsi:type="dcterms:W3CDTF">2019-11-30T06:48:00Z</dcterms:modified>
</cp:coreProperties>
</file>