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37431" w14:textId="77777777" w:rsidR="001139AB" w:rsidRDefault="001139AB" w:rsidP="001139AB">
      <w:r>
        <w:t>Ge 116</w:t>
      </w:r>
    </w:p>
    <w:p w14:paraId="38BD3C77" w14:textId="6F04F48A" w:rsidR="001139AB" w:rsidRDefault="000B20D4" w:rsidP="001139AB">
      <w:r>
        <w:t>Lab project Week</w:t>
      </w:r>
      <w:r w:rsidR="005933B6">
        <w:t xml:space="preserve"> 9</w:t>
      </w:r>
      <w:r w:rsidR="001139AB">
        <w:t xml:space="preserve">: </w:t>
      </w:r>
      <w:r>
        <w:t xml:space="preserve">Preparation for </w:t>
      </w:r>
      <w:r w:rsidR="001139AB">
        <w:t>X-Ray Powder Diffraction</w:t>
      </w:r>
    </w:p>
    <w:p w14:paraId="4EC571B4" w14:textId="0EC339B0" w:rsidR="001139AB" w:rsidRDefault="001139AB" w:rsidP="001139AB">
      <w:r>
        <w:t>Rep</w:t>
      </w:r>
      <w:r w:rsidR="005933B6">
        <w:t>ort due March 18</w:t>
      </w:r>
      <w:r w:rsidR="000B20D4">
        <w:t>,</w:t>
      </w:r>
      <w:r w:rsidR="005933B6">
        <w:t xml:space="preserve"> 2013</w:t>
      </w:r>
    </w:p>
    <w:p w14:paraId="07A7E361" w14:textId="77777777" w:rsidR="001139AB" w:rsidRDefault="001139AB" w:rsidP="001139AB"/>
    <w:p w14:paraId="4ECAC3AC" w14:textId="77777777" w:rsidR="001139AB" w:rsidRDefault="001139AB" w:rsidP="001139AB">
      <w:r>
        <w:t>Part 1</w:t>
      </w:r>
    </w:p>
    <w:p w14:paraId="53C1899B" w14:textId="77777777" w:rsidR="001139AB" w:rsidRDefault="001139AB" w:rsidP="001139AB"/>
    <w:p w14:paraId="42C8DD45" w14:textId="77777777" w:rsidR="001139AB" w:rsidRDefault="001139AB" w:rsidP="001139AB">
      <w:r>
        <w:t xml:space="preserve">A.  Radiation Safety Training </w:t>
      </w:r>
    </w:p>
    <w:p w14:paraId="2EDD715D" w14:textId="77777777" w:rsidR="001139AB" w:rsidRDefault="001139AB" w:rsidP="001139AB"/>
    <w:p w14:paraId="0052D9B3" w14:textId="09CA76CE" w:rsidR="001139AB" w:rsidRDefault="009054F0" w:rsidP="001139AB">
      <w:r>
        <w:t xml:space="preserve">Obtain </w:t>
      </w:r>
      <w:r w:rsidR="001139AB">
        <w:t xml:space="preserve">Radiation Safety </w:t>
      </w:r>
      <w:r>
        <w:t>training</w:t>
      </w:r>
      <w:r w:rsidR="00EC7F5F">
        <w:t xml:space="preserve"> from the Safety Office (</w:t>
      </w:r>
      <w:r w:rsidR="001139AB">
        <w:t>Haick Issaian, Radiation Sa</w:t>
      </w:r>
      <w:r>
        <w:t>fety Officer</w:t>
      </w:r>
      <w:r w:rsidR="001139AB">
        <w:t xml:space="preserve">).  </w:t>
      </w:r>
      <w:r w:rsidRPr="009054F0">
        <w:rPr>
          <w:i/>
        </w:rPr>
        <w:t>Completed on Monday 3-4pm.</w:t>
      </w:r>
    </w:p>
    <w:p w14:paraId="05766480" w14:textId="77777777" w:rsidR="001139AB" w:rsidRDefault="001139AB" w:rsidP="001139AB"/>
    <w:p w14:paraId="29FA2605" w14:textId="15967BE7" w:rsidR="001139AB" w:rsidRPr="00B270A9" w:rsidRDefault="001139AB" w:rsidP="001139AB">
      <w:pPr>
        <w:rPr>
          <w:b/>
        </w:rPr>
      </w:pPr>
      <w:r w:rsidRPr="0094473D">
        <w:rPr>
          <w:b/>
        </w:rPr>
        <w:t>Complete the take-home quiz and bring it to</w:t>
      </w:r>
      <w:r w:rsidR="00126C81">
        <w:rPr>
          <w:b/>
        </w:rPr>
        <w:t xml:space="preserve"> class or </w:t>
      </w:r>
      <w:r w:rsidRPr="0094473D">
        <w:rPr>
          <w:b/>
        </w:rPr>
        <w:t xml:space="preserve">lab </w:t>
      </w:r>
      <w:r w:rsidR="00126C81">
        <w:rPr>
          <w:b/>
        </w:rPr>
        <w:t>by the time</w:t>
      </w:r>
      <w:r w:rsidRPr="0094473D">
        <w:rPr>
          <w:b/>
        </w:rPr>
        <w:t xml:space="preserve"> we meet for XRD</w:t>
      </w:r>
      <w:r w:rsidR="00126C81">
        <w:rPr>
          <w:b/>
        </w:rPr>
        <w:t xml:space="preserve"> measurements</w:t>
      </w:r>
      <w:r w:rsidR="00111F2F">
        <w:rPr>
          <w:b/>
        </w:rPr>
        <w:t>.</w:t>
      </w:r>
    </w:p>
    <w:p w14:paraId="7C915368" w14:textId="77777777" w:rsidR="001139AB" w:rsidRDefault="001139AB" w:rsidP="001139AB"/>
    <w:p w14:paraId="6E39C2A3" w14:textId="77777777" w:rsidR="001139AB" w:rsidRDefault="001139AB" w:rsidP="001139AB">
      <w:r>
        <w:t xml:space="preserve">B.  Sample Preparation </w:t>
      </w:r>
    </w:p>
    <w:p w14:paraId="38ECE791" w14:textId="77777777" w:rsidR="001139AB" w:rsidRDefault="001139AB" w:rsidP="001139AB"/>
    <w:p w14:paraId="737C855B" w14:textId="79431643" w:rsidR="001139AB" w:rsidRDefault="001139AB" w:rsidP="001139AB">
      <w:r>
        <w:t>Meet in 352A Arms.  Powder X-ray Diffraction relies</w:t>
      </w:r>
      <w:r w:rsidR="00981660">
        <w:t>, in part,</w:t>
      </w:r>
      <w:r>
        <w:t xml:space="preserve"> on two assumptions: that the individual grains are randomly oriented, and that there are enough randomly oriented grains that we sample all lattice reflections.  To achieve these conditions, we want to prepare powders roughly the consistency of flo</w:t>
      </w:r>
      <w:bookmarkStart w:id="0" w:name="_GoBack"/>
      <w:bookmarkEnd w:id="0"/>
      <w:r>
        <w:t>ur</w:t>
      </w:r>
      <w:r w:rsidR="00111F2F">
        <w:t xml:space="preserve"> (grain size of ~100 </w:t>
      </w:r>
      <w:r w:rsidR="00111F2F" w:rsidRPr="00111F2F">
        <w:rPr>
          <w:rFonts w:ascii="Symbol" w:hAnsi="Symbol"/>
        </w:rPr>
        <w:t></w:t>
      </w:r>
      <w:r w:rsidR="00111F2F">
        <w:t xml:space="preserve">m down to ~2 </w:t>
      </w:r>
      <w:r w:rsidR="00111F2F" w:rsidRPr="00111F2F">
        <w:rPr>
          <w:rFonts w:ascii="Symbol" w:hAnsi="Symbol"/>
        </w:rPr>
        <w:t></w:t>
      </w:r>
      <w:r w:rsidR="00111F2F">
        <w:t>m)</w:t>
      </w:r>
      <w:r>
        <w:t>.</w:t>
      </w:r>
    </w:p>
    <w:p w14:paraId="0B14F28B" w14:textId="77777777" w:rsidR="001139AB" w:rsidRDefault="001139AB" w:rsidP="001139AB"/>
    <w:p w14:paraId="2868C9E6" w14:textId="054ABC17" w:rsidR="00981660" w:rsidRDefault="001139AB" w:rsidP="001139AB">
      <w:r>
        <w:t xml:space="preserve">Crush and weigh out </w:t>
      </w:r>
      <w:r w:rsidR="00111F2F">
        <w:t>“Unknown 0”</w:t>
      </w:r>
      <w:r>
        <w:t xml:space="preserve"> </w:t>
      </w:r>
      <w:r w:rsidR="00B1139C">
        <w:t>and “Unknown 6” p</w:t>
      </w:r>
      <w:r>
        <w:t xml:space="preserve">rovided by the GPS </w:t>
      </w:r>
      <w:r w:rsidR="00111F2F">
        <w:t>working collection.  We’ll aim for about 3</w:t>
      </w:r>
      <w:r>
        <w:t xml:space="preserve">0 mg of sample, though powder spectra can be obtained on samples as small as a few mg.  First, </w:t>
      </w:r>
      <w:r w:rsidR="00B1139C">
        <w:t xml:space="preserve">measure out a portion of ~30 mg of uncrushed sample, then </w:t>
      </w:r>
      <w:r>
        <w:t xml:space="preserve">crush </w:t>
      </w:r>
      <w:r w:rsidR="00B1139C">
        <w:t>it</w:t>
      </w:r>
      <w:r>
        <w:t xml:space="preserve"> into a powder</w:t>
      </w:r>
      <w:r w:rsidR="001D7618">
        <w:t xml:space="preserve"> under acetone</w:t>
      </w:r>
      <w:r>
        <w:t xml:space="preserve">, then grind under </w:t>
      </w:r>
      <w:r w:rsidR="00B1139C">
        <w:t xml:space="preserve">acetone </w:t>
      </w:r>
      <w:r>
        <w:t>in an agate mortar to the correct consistency</w:t>
      </w:r>
      <w:r w:rsidR="00B1139C">
        <w:t xml:space="preserve"> (flour)</w:t>
      </w:r>
      <w:r>
        <w:t xml:space="preserve">.  </w:t>
      </w:r>
      <w:r w:rsidR="001D7618">
        <w:t>For ultra-purity, grind under ethanol.</w:t>
      </w:r>
    </w:p>
    <w:p w14:paraId="0F33CFE9" w14:textId="77777777" w:rsidR="00981660" w:rsidRDefault="00981660" w:rsidP="001139AB"/>
    <w:p w14:paraId="3DA962FD" w14:textId="0DAE795B" w:rsidR="001139AB" w:rsidRDefault="00111F2F" w:rsidP="001139AB">
      <w:r>
        <w:t>Measure</w:t>
      </w:r>
      <w:r w:rsidR="003B2DD1">
        <w:t xml:space="preserve"> </w:t>
      </w:r>
      <w:r>
        <w:t xml:space="preserve">the </w:t>
      </w:r>
      <w:r w:rsidR="002B2179">
        <w:t xml:space="preserve">average </w:t>
      </w:r>
      <w:r>
        <w:t>grain size</w:t>
      </w:r>
      <w:r w:rsidR="003B2DD1">
        <w:t xml:space="preserve"> of your samples</w:t>
      </w:r>
      <w:r w:rsidR="00B1139C">
        <w:t xml:space="preserve"> on the microscope in the adjacent room</w:t>
      </w:r>
      <w:r>
        <w:t>.</w:t>
      </w:r>
      <w:r w:rsidR="003B2DD1">
        <w:t xml:space="preserve">  Also, </w:t>
      </w:r>
      <w:r w:rsidR="00C46ABE">
        <w:t xml:space="preserve">take a small portion </w:t>
      </w:r>
      <w:r w:rsidR="003B2DD1">
        <w:t>of the ground</w:t>
      </w:r>
      <w:r w:rsidR="00981660">
        <w:t xml:space="preserve"> bulk sample and unground NaCl</w:t>
      </w:r>
      <w:r w:rsidR="00C46ABE">
        <w:t xml:space="preserve"> and measure the </w:t>
      </w:r>
      <w:r w:rsidR="002B2179">
        <w:t xml:space="preserve">average </w:t>
      </w:r>
      <w:r w:rsidR="00C46ABE">
        <w:t>grain size</w:t>
      </w:r>
      <w:r w:rsidR="002B2179">
        <w:t xml:space="preserve"> for each</w:t>
      </w:r>
      <w:r w:rsidR="00C46ABE">
        <w:t>.  Note them</w:t>
      </w:r>
      <w:r w:rsidR="00981660">
        <w:t xml:space="preserve"> in the table below:</w:t>
      </w:r>
    </w:p>
    <w:p w14:paraId="0D6447FB" w14:textId="77777777" w:rsidR="00981660" w:rsidRDefault="00981660" w:rsidP="001139AB"/>
    <w:tbl>
      <w:tblPr>
        <w:tblStyle w:val="TableGrid"/>
        <w:tblW w:w="0" w:type="auto"/>
        <w:tblInd w:w="108" w:type="dxa"/>
        <w:tblLook w:val="04A0" w:firstRow="1" w:lastRow="0" w:firstColumn="1" w:lastColumn="0" w:noHBand="0" w:noVBand="1"/>
      </w:tblPr>
      <w:tblGrid>
        <w:gridCol w:w="2124"/>
        <w:gridCol w:w="2952"/>
        <w:gridCol w:w="4284"/>
      </w:tblGrid>
      <w:tr w:rsidR="003B2DD1" w14:paraId="75D86A17" w14:textId="77777777" w:rsidTr="00A91D6A">
        <w:tc>
          <w:tcPr>
            <w:tcW w:w="2124" w:type="dxa"/>
          </w:tcPr>
          <w:p w14:paraId="5A760275" w14:textId="0786B545" w:rsidR="003B2DD1" w:rsidRPr="00981660" w:rsidRDefault="003B2DD1" w:rsidP="00981660">
            <w:pPr>
              <w:jc w:val="center"/>
              <w:rPr>
                <w:b/>
              </w:rPr>
            </w:pPr>
            <w:r w:rsidRPr="00981660">
              <w:rPr>
                <w:b/>
              </w:rPr>
              <w:t>Sample</w:t>
            </w:r>
          </w:p>
        </w:tc>
        <w:tc>
          <w:tcPr>
            <w:tcW w:w="2952" w:type="dxa"/>
          </w:tcPr>
          <w:p w14:paraId="7C492328" w14:textId="5A19250C" w:rsidR="003B2DD1" w:rsidRPr="00981660" w:rsidRDefault="00981660" w:rsidP="00981660">
            <w:pPr>
              <w:jc w:val="center"/>
              <w:rPr>
                <w:b/>
              </w:rPr>
            </w:pPr>
            <w:r w:rsidRPr="00981660">
              <w:rPr>
                <w:b/>
              </w:rPr>
              <w:t xml:space="preserve">Average </w:t>
            </w:r>
            <w:r w:rsidR="003B2DD1" w:rsidRPr="00981660">
              <w:rPr>
                <w:b/>
              </w:rPr>
              <w:t>grain size (</w:t>
            </w:r>
            <w:r w:rsidR="003B2DD1" w:rsidRPr="00981660">
              <w:rPr>
                <w:rFonts w:ascii="Symbol" w:hAnsi="Symbol"/>
                <w:b/>
              </w:rPr>
              <w:t></w:t>
            </w:r>
            <w:r w:rsidR="003B2DD1" w:rsidRPr="00981660">
              <w:rPr>
                <w:b/>
              </w:rPr>
              <w:t>m)</w:t>
            </w:r>
          </w:p>
        </w:tc>
        <w:tc>
          <w:tcPr>
            <w:tcW w:w="4284" w:type="dxa"/>
          </w:tcPr>
          <w:p w14:paraId="1CD6C1E0" w14:textId="5F5CDBC4" w:rsidR="003B2DD1" w:rsidRPr="00981660" w:rsidRDefault="00981660" w:rsidP="00981660">
            <w:pPr>
              <w:jc w:val="center"/>
              <w:rPr>
                <w:b/>
              </w:rPr>
            </w:pPr>
            <w:r w:rsidRPr="00981660">
              <w:rPr>
                <w:b/>
              </w:rPr>
              <w:t>Range of grain sizes</w:t>
            </w:r>
            <w:r w:rsidR="00A91D6A">
              <w:rPr>
                <w:b/>
              </w:rPr>
              <w:t>/Notes</w:t>
            </w:r>
          </w:p>
        </w:tc>
      </w:tr>
      <w:tr w:rsidR="003B2DD1" w14:paraId="56B77243" w14:textId="77777777" w:rsidTr="00A91D6A">
        <w:tc>
          <w:tcPr>
            <w:tcW w:w="2124" w:type="dxa"/>
          </w:tcPr>
          <w:p w14:paraId="5710A719" w14:textId="77777777" w:rsidR="003B2DD1" w:rsidRDefault="003B2DD1" w:rsidP="003B2DD1">
            <w:r>
              <w:t>Unknown 0</w:t>
            </w:r>
          </w:p>
          <w:p w14:paraId="0A6AEBA5" w14:textId="77777777" w:rsidR="003B2DD1" w:rsidRDefault="003B2DD1" w:rsidP="001139AB"/>
        </w:tc>
        <w:tc>
          <w:tcPr>
            <w:tcW w:w="2952" w:type="dxa"/>
          </w:tcPr>
          <w:p w14:paraId="42DED303" w14:textId="77777777" w:rsidR="003B2DD1" w:rsidRDefault="003B2DD1" w:rsidP="001139AB"/>
        </w:tc>
        <w:tc>
          <w:tcPr>
            <w:tcW w:w="4284" w:type="dxa"/>
          </w:tcPr>
          <w:p w14:paraId="7951EB29" w14:textId="77777777" w:rsidR="003B2DD1" w:rsidRDefault="003B2DD1" w:rsidP="001139AB"/>
        </w:tc>
      </w:tr>
      <w:tr w:rsidR="003B2DD1" w14:paraId="03B14C92" w14:textId="77777777" w:rsidTr="00A91D6A">
        <w:tc>
          <w:tcPr>
            <w:tcW w:w="2124" w:type="dxa"/>
          </w:tcPr>
          <w:p w14:paraId="224B52A6" w14:textId="77777777" w:rsidR="003B2DD1" w:rsidRDefault="003B2DD1" w:rsidP="003B2DD1">
            <w:r>
              <w:t>Unknown 6</w:t>
            </w:r>
          </w:p>
          <w:p w14:paraId="56A7639B" w14:textId="77777777" w:rsidR="003B2DD1" w:rsidRDefault="003B2DD1" w:rsidP="001139AB"/>
        </w:tc>
        <w:tc>
          <w:tcPr>
            <w:tcW w:w="2952" w:type="dxa"/>
          </w:tcPr>
          <w:p w14:paraId="6EA52765" w14:textId="77777777" w:rsidR="003B2DD1" w:rsidRDefault="003B2DD1" w:rsidP="001139AB"/>
        </w:tc>
        <w:tc>
          <w:tcPr>
            <w:tcW w:w="4284" w:type="dxa"/>
          </w:tcPr>
          <w:p w14:paraId="50E531B8" w14:textId="77777777" w:rsidR="003B2DD1" w:rsidRDefault="003B2DD1" w:rsidP="001139AB"/>
        </w:tc>
      </w:tr>
      <w:tr w:rsidR="003B2DD1" w14:paraId="6DEDD08E" w14:textId="77777777" w:rsidTr="00A91D6A">
        <w:tc>
          <w:tcPr>
            <w:tcW w:w="2124" w:type="dxa"/>
          </w:tcPr>
          <w:p w14:paraId="46640462" w14:textId="77777777" w:rsidR="003B2DD1" w:rsidRDefault="003B2DD1" w:rsidP="003B2DD1">
            <w:r>
              <w:t>Ground bulk-rock</w:t>
            </w:r>
          </w:p>
          <w:p w14:paraId="43D31FA8" w14:textId="77777777" w:rsidR="003B2DD1" w:rsidRDefault="003B2DD1" w:rsidP="001139AB"/>
        </w:tc>
        <w:tc>
          <w:tcPr>
            <w:tcW w:w="2952" w:type="dxa"/>
          </w:tcPr>
          <w:p w14:paraId="157246BA" w14:textId="77777777" w:rsidR="003B2DD1" w:rsidRDefault="003B2DD1" w:rsidP="001139AB"/>
        </w:tc>
        <w:tc>
          <w:tcPr>
            <w:tcW w:w="4284" w:type="dxa"/>
          </w:tcPr>
          <w:p w14:paraId="5C10071D" w14:textId="77777777" w:rsidR="003B2DD1" w:rsidRDefault="003B2DD1" w:rsidP="001139AB"/>
        </w:tc>
      </w:tr>
      <w:tr w:rsidR="003B2DD1" w14:paraId="6001BC51" w14:textId="77777777" w:rsidTr="00A91D6A">
        <w:tc>
          <w:tcPr>
            <w:tcW w:w="2124" w:type="dxa"/>
          </w:tcPr>
          <w:p w14:paraId="377BB9ED" w14:textId="77777777" w:rsidR="003B2DD1" w:rsidRDefault="003B2DD1" w:rsidP="003B2DD1">
            <w:r>
              <w:t>Unground NaCl</w:t>
            </w:r>
          </w:p>
          <w:p w14:paraId="5766BC70" w14:textId="77777777" w:rsidR="003B2DD1" w:rsidRDefault="003B2DD1" w:rsidP="001139AB"/>
        </w:tc>
        <w:tc>
          <w:tcPr>
            <w:tcW w:w="2952" w:type="dxa"/>
          </w:tcPr>
          <w:p w14:paraId="1B580169" w14:textId="77777777" w:rsidR="003B2DD1" w:rsidRDefault="003B2DD1" w:rsidP="001139AB"/>
        </w:tc>
        <w:tc>
          <w:tcPr>
            <w:tcW w:w="4284" w:type="dxa"/>
          </w:tcPr>
          <w:p w14:paraId="1A3AE221" w14:textId="77777777" w:rsidR="003B2DD1" w:rsidRDefault="003B2DD1" w:rsidP="001139AB"/>
        </w:tc>
      </w:tr>
    </w:tbl>
    <w:p w14:paraId="264748FF" w14:textId="77777777" w:rsidR="001139AB" w:rsidRDefault="001139AB" w:rsidP="001139AB"/>
    <w:p w14:paraId="03470F51" w14:textId="1DBA016D" w:rsidR="001139AB" w:rsidRDefault="00111F2F" w:rsidP="001139AB">
      <w:r>
        <w:t xml:space="preserve">We will use </w:t>
      </w:r>
      <w:r w:rsidR="001139AB">
        <w:t>the already prepared (ground) bulk sample and NaCl.  When finished, clean mortar and pestle by grinding in amorphous silica at least three times.</w:t>
      </w:r>
    </w:p>
    <w:p w14:paraId="19B989C8" w14:textId="6A34DF63" w:rsidR="001139AB" w:rsidRDefault="00C20037" w:rsidP="001657BD">
      <w:pPr>
        <w:rPr>
          <w:b/>
        </w:rPr>
      </w:pPr>
      <w:r>
        <w:rPr>
          <w:b/>
        </w:rPr>
        <w:t>Store your sample</w:t>
      </w:r>
      <w:r w:rsidR="001139AB" w:rsidRPr="003F736F">
        <w:rPr>
          <w:b/>
        </w:rPr>
        <w:t xml:space="preserve"> in a labeled vial</w:t>
      </w:r>
      <w:r w:rsidR="001657BD">
        <w:rPr>
          <w:b/>
        </w:rPr>
        <w:t>.</w:t>
      </w:r>
    </w:p>
    <w:p w14:paraId="096AC76A" w14:textId="77777777" w:rsidR="005933B6" w:rsidRDefault="005933B6" w:rsidP="001657BD">
      <w:pPr>
        <w:rPr>
          <w:b/>
        </w:rPr>
      </w:pPr>
    </w:p>
    <w:p w14:paraId="0C50A524" w14:textId="77777777" w:rsidR="005933B6" w:rsidRPr="00DF6666" w:rsidRDefault="005933B6" w:rsidP="005933B6">
      <w:pPr>
        <w:rPr>
          <w:b/>
        </w:rPr>
      </w:pPr>
      <w:r>
        <w:rPr>
          <w:b/>
        </w:rPr>
        <w:br w:type="page"/>
      </w:r>
      <w:r w:rsidRPr="00DF6666">
        <w:rPr>
          <w:b/>
        </w:rPr>
        <w:lastRenderedPageBreak/>
        <w:t xml:space="preserve">Part 2. </w:t>
      </w:r>
    </w:p>
    <w:p w14:paraId="0CDC08A8" w14:textId="5BF6D983" w:rsidR="005933B6" w:rsidRDefault="005933B6" w:rsidP="005933B6">
      <w:r>
        <w:t>C.   X-Ray Powder Diffraction Experiments</w:t>
      </w:r>
    </w:p>
    <w:p w14:paraId="7044DFCF" w14:textId="77777777" w:rsidR="005933B6" w:rsidRDefault="005933B6" w:rsidP="005933B6"/>
    <w:p w14:paraId="1D4AECAE" w14:textId="579BD1A0" w:rsidR="005933B6" w:rsidRDefault="005933B6" w:rsidP="005933B6">
      <w:r>
        <w:t xml:space="preserve">339 Steele. </w:t>
      </w:r>
      <w:r>
        <w:rPr>
          <w:i/>
        </w:rPr>
        <w:t xml:space="preserve">We will be in a lab facility, closed-toed shoes are required. </w:t>
      </w:r>
      <w:r>
        <w:t>We will be using the Haile Group Inel CPS-120 powder diffractometer system equipped with a conventional X-ray source (Cu K</w:t>
      </w:r>
      <w:r>
        <w:sym w:font="Symbol" w:char="F061"/>
      </w:r>
      <w:r>
        <w:t>).  We will be guests in Prof. Sossina Haile’s lab and want to be as thorough and clean as possible.</w:t>
      </w:r>
    </w:p>
    <w:p w14:paraId="5E669904" w14:textId="77777777" w:rsidR="005933B6" w:rsidRDefault="005933B6" w:rsidP="005933B6"/>
    <w:p w14:paraId="21090513" w14:textId="77777777" w:rsidR="005933B6" w:rsidRDefault="005933B6" w:rsidP="005933B6">
      <w:r>
        <w:t>The x-ray source is usually left in standby mode—40 kV, 10 mA, with a water cooling system left on.</w:t>
      </w:r>
    </w:p>
    <w:p w14:paraId="72145C7A" w14:textId="77777777" w:rsidR="005933B6" w:rsidRDefault="005933B6" w:rsidP="005933B6"/>
    <w:p w14:paraId="122CA577" w14:textId="77777777" w:rsidR="005933B6" w:rsidRDefault="005933B6" w:rsidP="005933B6">
      <w:r>
        <w:t xml:space="preserve">Familiarize yourself with how the machine works, from sample mounting to data collection.  There is a step-by-step procedure written out that one can look through.  Mount each sample on the provided holder, packing your sample in the entire volume, and place it on the sample stage.  Connect to the XRD using the </w:t>
      </w:r>
      <w:r>
        <w:rPr>
          <w:i/>
        </w:rPr>
        <w:t>X-pert Data C</w:t>
      </w:r>
      <w:r w:rsidRPr="00A84D62">
        <w:rPr>
          <w:i/>
        </w:rPr>
        <w:t>ollector</w:t>
      </w:r>
      <w:r>
        <w:t xml:space="preserve">, and use it to ramp up the voltage/current to 45 kV/40mA.  </w:t>
      </w:r>
    </w:p>
    <w:p w14:paraId="55D4847F" w14:textId="77777777" w:rsidR="005933B6" w:rsidRDefault="005933B6" w:rsidP="005933B6"/>
    <w:p w14:paraId="54EBD3CD" w14:textId="77777777" w:rsidR="005933B6" w:rsidRDefault="005933B6" w:rsidP="005933B6">
      <w:r>
        <w:t>Login/password: geology/geology</w:t>
      </w:r>
    </w:p>
    <w:p w14:paraId="76294D3D" w14:textId="77777777" w:rsidR="005933B6" w:rsidRDefault="005933B6" w:rsidP="005933B6"/>
    <w:p w14:paraId="29852156" w14:textId="77777777" w:rsidR="005933B6" w:rsidRDefault="005933B6" w:rsidP="005933B6">
      <w:r>
        <w:t>The most recently created collection program for geologists (geo4) is fine for for NaCl (2</w:t>
      </w:r>
      <w:r w:rsidRPr="00A84D62">
        <w:sym w:font="Symbol" w:char="F071"/>
      </w:r>
      <w:r>
        <w:t xml:space="preserve"> range: 5</w:t>
      </w:r>
      <w:r>
        <w:sym w:font="Symbol" w:char="F0B0"/>
      </w:r>
      <w:r>
        <w:t xml:space="preserve"> to 75</w:t>
      </w:r>
      <w:r>
        <w:sym w:font="Symbol" w:char="F0B0"/>
      </w:r>
      <w:r>
        <w:t>, 0.01 step size, 10 second dwell time).  Using this configuration, measure an x-ray diffraction spectrum for each of your samples. We may use a longer dwell time for the unknowns and bulk rock sample.</w:t>
      </w:r>
    </w:p>
    <w:p w14:paraId="735CA39A" w14:textId="77777777" w:rsidR="005933B6" w:rsidRDefault="005933B6" w:rsidP="005933B6"/>
    <w:p w14:paraId="43FD3019" w14:textId="77777777" w:rsidR="005933B6" w:rsidRPr="00A84D62" w:rsidRDefault="005933B6" w:rsidP="005933B6">
      <w:r>
        <w:t>Run: NaCl unground, NaCl ground (ground 02/08/2012 at ~11am CST), Unknown 0, Unknown 6, and bulk sample.  Note the figure and table on page 3.</w:t>
      </w:r>
    </w:p>
    <w:p w14:paraId="632B1150" w14:textId="77777777" w:rsidR="005933B6" w:rsidRDefault="005933B6" w:rsidP="005933B6"/>
    <w:p w14:paraId="064408ED" w14:textId="77777777" w:rsidR="005933B6" w:rsidRDefault="005933B6" w:rsidP="005933B6">
      <w:r>
        <w:t>When finished, return the machine to standby and sign the logbook.   Make sure your sample area is clean before you leave.  Email the data files to yourself.</w:t>
      </w:r>
    </w:p>
    <w:p w14:paraId="7B171DEC" w14:textId="77777777" w:rsidR="005933B6" w:rsidRDefault="005933B6" w:rsidP="005933B6"/>
    <w:p w14:paraId="40E3DEEB" w14:textId="77777777" w:rsidR="005933B6" w:rsidRDefault="005933B6" w:rsidP="005933B6">
      <w:r>
        <w:t>D.  Data Analysis</w:t>
      </w:r>
    </w:p>
    <w:p w14:paraId="00EBC4B4" w14:textId="77777777" w:rsidR="005933B6" w:rsidRDefault="005933B6" w:rsidP="005933B6"/>
    <w:p w14:paraId="6FE5CD02" w14:textId="77777777" w:rsidR="005933B6" w:rsidRDefault="005933B6" w:rsidP="005933B6">
      <w:r w:rsidRPr="00DA4230">
        <w:rPr>
          <w:b/>
        </w:rPr>
        <w:t xml:space="preserve">Now, either </w:t>
      </w:r>
      <w:r>
        <w:rPr>
          <w:b/>
        </w:rPr>
        <w:t>in this lab</w:t>
      </w:r>
      <w:r w:rsidRPr="00DA4230">
        <w:rPr>
          <w:b/>
        </w:rPr>
        <w:t xml:space="preserve"> or on the offline computer in the microprobe lab, identify your unknown</w:t>
      </w:r>
      <w:r>
        <w:rPr>
          <w:b/>
        </w:rPr>
        <w:t>s</w:t>
      </w:r>
      <w:r w:rsidRPr="00DA4230">
        <w:rPr>
          <w:b/>
        </w:rPr>
        <w:t>.</w:t>
      </w:r>
      <w:r>
        <w:t xml:space="preserve">  The </w:t>
      </w:r>
      <w:r w:rsidRPr="00344459">
        <w:rPr>
          <w:i/>
        </w:rPr>
        <w:t>X-pert high score</w:t>
      </w:r>
      <w:r>
        <w:t xml:space="preserve"> software is equipped with a searchable powder diffraction database.  Use the software to subtract the background, </w:t>
      </w:r>
      <w:r w:rsidRPr="002E153A">
        <w:t>eliminate K</w:t>
      </w:r>
      <w:r w:rsidRPr="002E153A">
        <w:sym w:font="Symbol" w:char="F061"/>
      </w:r>
      <w:r w:rsidRPr="002E153A">
        <w:rPr>
          <w:vertAlign w:val="subscript"/>
        </w:rPr>
        <w:t>2</w:t>
      </w:r>
      <w:r w:rsidRPr="002E153A">
        <w:t xml:space="preserve"> peaks, </w:t>
      </w:r>
      <w:r>
        <w:t xml:space="preserve">match up your unknowns, </w:t>
      </w:r>
      <w:r w:rsidRPr="002E153A">
        <w:t>save the peak list</w:t>
      </w:r>
      <w:r>
        <w:t>s</w:t>
      </w:r>
      <w:r w:rsidRPr="002E153A">
        <w:t xml:space="preserve"> as a text file</w:t>
      </w:r>
      <w:r>
        <w:t xml:space="preserve">, </w:t>
      </w:r>
      <w:r w:rsidRPr="00FF3380">
        <w:t>and export the raw NaCl data (</w:t>
      </w:r>
      <w:r>
        <w:t>choose “*.rd” or “*.di” formats</w:t>
      </w:r>
      <w:r w:rsidRPr="00FF3380">
        <w:t>).</w:t>
      </w:r>
      <w:r>
        <w:t xml:space="preserve"> </w:t>
      </w:r>
    </w:p>
    <w:p w14:paraId="5DF6B897" w14:textId="77777777" w:rsidR="005933B6" w:rsidRDefault="005933B6" w:rsidP="005933B6"/>
    <w:p w14:paraId="5D146FC4" w14:textId="77777777" w:rsidR="005933B6" w:rsidRDefault="005933B6" w:rsidP="005933B6"/>
    <w:p w14:paraId="74109628" w14:textId="77777777" w:rsidR="005933B6" w:rsidRPr="005A0028" w:rsidRDefault="005933B6" w:rsidP="005933B6">
      <w:pPr>
        <w:numPr>
          <w:ilvl w:val="0"/>
          <w:numId w:val="2"/>
        </w:numPr>
        <w:tabs>
          <w:tab w:val="left" w:pos="0"/>
          <w:tab w:val="left" w:pos="360"/>
          <w:tab w:val="left" w:pos="450"/>
          <w:tab w:val="left" w:pos="540"/>
        </w:tabs>
        <w:rPr>
          <w:b/>
        </w:rPr>
      </w:pPr>
      <w:r w:rsidRPr="00752EC8">
        <w:rPr>
          <w:i/>
        </w:rPr>
        <w:t>NaCl—salt</w:t>
      </w:r>
      <w:r w:rsidRPr="00752EC8">
        <w:t>.</w:t>
      </w:r>
      <w:r>
        <w:rPr>
          <w:b/>
        </w:rPr>
        <w:t xml:space="preserve">  </w:t>
      </w:r>
      <w:r>
        <w:t>NaCl forms crystals that are face-centered-cubic (“</w:t>
      </w:r>
      <w:r w:rsidRPr="00FC0617">
        <w:rPr>
          <w:i/>
        </w:rPr>
        <w:t>fcc</w:t>
      </w:r>
      <w:r>
        <w:t>”, space group Fm</w:t>
      </w:r>
      <w:r w:rsidRPr="002213BC">
        <w:rPr>
          <w:u w:val="single"/>
        </w:rPr>
        <w:t>3</w:t>
      </w:r>
      <w:r>
        <w:t xml:space="preserve">m).  In a cubic system, lattice constants for each face-edge are equivalent.  (that is, a=b=c, implying (002) =(200) = (020) ).  </w:t>
      </w:r>
    </w:p>
    <w:p w14:paraId="3B5D6236" w14:textId="77777777" w:rsidR="005933B6" w:rsidRDefault="005933B6" w:rsidP="005933B6">
      <w:pPr>
        <w:numPr>
          <w:ilvl w:val="1"/>
          <w:numId w:val="2"/>
        </w:numPr>
        <w:tabs>
          <w:tab w:val="left" w:pos="0"/>
          <w:tab w:val="left" w:pos="360"/>
          <w:tab w:val="left" w:pos="450"/>
          <w:tab w:val="left" w:pos="540"/>
        </w:tabs>
        <w:rPr>
          <w:b/>
        </w:rPr>
      </w:pPr>
      <w:r>
        <w:rPr>
          <w:b/>
        </w:rPr>
        <w:t>Index your NaCl spectra (ground &amp; unground) with the help of Table 1: match the (</w:t>
      </w:r>
      <w:r w:rsidRPr="00067585">
        <w:rPr>
          <w:b/>
          <w:i/>
        </w:rPr>
        <w:t>hkl</w:t>
      </w:r>
      <w:r>
        <w:rPr>
          <w:b/>
        </w:rPr>
        <w:t>) reflections with your peaks.  Fill in Table 1. Calculate the lattice parameter, “</w:t>
      </w:r>
      <w:r w:rsidRPr="007D3299">
        <w:rPr>
          <w:b/>
        </w:rPr>
        <w:t>a</w:t>
      </w:r>
      <w:r>
        <w:rPr>
          <w:b/>
        </w:rPr>
        <w:t>”</w:t>
      </w:r>
      <w:r w:rsidRPr="007D3299">
        <w:rPr>
          <w:b/>
        </w:rPr>
        <w:t xml:space="preserve"> (</w:t>
      </w:r>
      <w:r>
        <w:rPr>
          <w:b/>
        </w:rPr>
        <w:t xml:space="preserve">in units of </w:t>
      </w:r>
      <w:r w:rsidRPr="007D3299">
        <w:rPr>
          <w:b/>
        </w:rPr>
        <w:t>Å)</w:t>
      </w:r>
      <w:r>
        <w:rPr>
          <w:b/>
        </w:rPr>
        <w:t xml:space="preserve">, from each reflection. </w:t>
      </w:r>
    </w:p>
    <w:p w14:paraId="088D77D4" w14:textId="77777777" w:rsidR="005933B6" w:rsidRDefault="005933B6" w:rsidP="005933B6">
      <w:pPr>
        <w:numPr>
          <w:ilvl w:val="1"/>
          <w:numId w:val="2"/>
        </w:numPr>
        <w:tabs>
          <w:tab w:val="left" w:pos="0"/>
          <w:tab w:val="left" w:pos="360"/>
          <w:tab w:val="left" w:pos="450"/>
          <w:tab w:val="left" w:pos="540"/>
        </w:tabs>
        <w:rPr>
          <w:b/>
        </w:rPr>
      </w:pPr>
      <w:r>
        <w:rPr>
          <w:b/>
        </w:rPr>
        <w:t>Determine the volume of NaCl  (ground &amp; unground) and describe your procedure.</w:t>
      </w:r>
    </w:p>
    <w:p w14:paraId="363ABB0F" w14:textId="77777777" w:rsidR="005933B6" w:rsidRDefault="005933B6" w:rsidP="005933B6">
      <w:pPr>
        <w:numPr>
          <w:ilvl w:val="1"/>
          <w:numId w:val="2"/>
        </w:numPr>
        <w:tabs>
          <w:tab w:val="left" w:pos="0"/>
          <w:tab w:val="left" w:pos="360"/>
          <w:tab w:val="left" w:pos="450"/>
          <w:tab w:val="left" w:pos="540"/>
        </w:tabs>
        <w:rPr>
          <w:b/>
        </w:rPr>
      </w:pPr>
      <w:r>
        <w:rPr>
          <w:b/>
        </w:rPr>
        <w:t>Determine the density of NaCl (ground &amp; unground) in units of g/cm</w:t>
      </w:r>
      <w:r w:rsidRPr="00DD1D5B">
        <w:rPr>
          <w:b/>
          <w:vertAlign w:val="superscript"/>
        </w:rPr>
        <w:t>3</w:t>
      </w:r>
      <w:r>
        <w:rPr>
          <w:b/>
        </w:rPr>
        <w:t>.</w:t>
      </w:r>
    </w:p>
    <w:p w14:paraId="06270D63" w14:textId="77777777" w:rsidR="005933B6" w:rsidRDefault="005933B6" w:rsidP="005933B6">
      <w:pPr>
        <w:numPr>
          <w:ilvl w:val="1"/>
          <w:numId w:val="2"/>
        </w:numPr>
        <w:tabs>
          <w:tab w:val="left" w:pos="0"/>
          <w:tab w:val="left" w:pos="360"/>
          <w:tab w:val="left" w:pos="450"/>
          <w:tab w:val="left" w:pos="540"/>
        </w:tabs>
        <w:rPr>
          <w:b/>
        </w:rPr>
      </w:pPr>
      <w:r>
        <w:rPr>
          <w:b/>
        </w:rPr>
        <w:t>Comment on the differences in the XRD spectra of the unground NaCl sample and the ground NaCl sample: peak intensities, relative peak intensities, peak widths, peak positions, and other features you may notice.</w:t>
      </w:r>
    </w:p>
    <w:p w14:paraId="233947C3" w14:textId="77777777" w:rsidR="005933B6" w:rsidRDefault="005933B6" w:rsidP="005933B6">
      <w:pPr>
        <w:tabs>
          <w:tab w:val="left" w:pos="0"/>
          <w:tab w:val="left" w:pos="360"/>
          <w:tab w:val="left" w:pos="450"/>
          <w:tab w:val="left" w:pos="540"/>
        </w:tabs>
        <w:ind w:left="720"/>
        <w:rPr>
          <w:b/>
        </w:rPr>
      </w:pPr>
    </w:p>
    <w:p w14:paraId="6782D18A" w14:textId="784A909A" w:rsidR="005933B6" w:rsidRDefault="005933B6" w:rsidP="005933B6">
      <w:pPr>
        <w:numPr>
          <w:ilvl w:val="0"/>
          <w:numId w:val="2"/>
        </w:numPr>
        <w:tabs>
          <w:tab w:val="left" w:pos="0"/>
          <w:tab w:val="left" w:pos="360"/>
          <w:tab w:val="left" w:pos="450"/>
          <w:tab w:val="left" w:pos="540"/>
        </w:tabs>
      </w:pPr>
      <w:r w:rsidRPr="00D4328F">
        <w:rPr>
          <w:i/>
        </w:rPr>
        <w:t>Unknown O.</w:t>
      </w:r>
      <w:r>
        <w:t xml:space="preserve">  I</w:t>
      </w:r>
      <w:r w:rsidRPr="00C37F0A">
        <w:rPr>
          <w:b/>
        </w:rPr>
        <w:t xml:space="preserve">dentify this mineral using the peak matching analysis software.  Note the lines of different phases that the program suggests and the peaks of your data.  </w:t>
      </w:r>
      <w:r>
        <w:t>This mineral is a phosphate that you analyzed using EMPA and SEM; it forms crystals with hexagonal symmetry (space group P6</w:t>
      </w:r>
      <w:r w:rsidRPr="00C50AB9">
        <w:rPr>
          <w:vertAlign w:val="subscript"/>
        </w:rPr>
        <w:t>3</w:t>
      </w:r>
      <w:r w:rsidR="00014135">
        <w:t xml:space="preserve">/m). </w:t>
      </w:r>
    </w:p>
    <w:p w14:paraId="20AD82D6" w14:textId="77777777" w:rsidR="005933B6" w:rsidRDefault="005933B6" w:rsidP="005933B6">
      <w:pPr>
        <w:tabs>
          <w:tab w:val="left" w:pos="0"/>
          <w:tab w:val="left" w:pos="360"/>
          <w:tab w:val="left" w:pos="450"/>
          <w:tab w:val="left" w:pos="540"/>
        </w:tabs>
        <w:ind w:left="720"/>
      </w:pPr>
    </w:p>
    <w:p w14:paraId="3B810E34" w14:textId="77777777" w:rsidR="005933B6" w:rsidRDefault="005933B6" w:rsidP="005933B6">
      <w:pPr>
        <w:numPr>
          <w:ilvl w:val="0"/>
          <w:numId w:val="2"/>
        </w:numPr>
        <w:tabs>
          <w:tab w:val="left" w:pos="0"/>
          <w:tab w:val="left" w:pos="360"/>
          <w:tab w:val="left" w:pos="450"/>
          <w:tab w:val="left" w:pos="540"/>
        </w:tabs>
      </w:pPr>
      <w:r>
        <w:rPr>
          <w:i/>
        </w:rPr>
        <w:t>Unknown 6</w:t>
      </w:r>
      <w:r w:rsidRPr="00D4328F">
        <w:rPr>
          <w:i/>
        </w:rPr>
        <w:t>.</w:t>
      </w:r>
      <w:r>
        <w:t xml:space="preserve">  </w:t>
      </w:r>
      <w:r w:rsidRPr="00610B70">
        <w:rPr>
          <w:b/>
        </w:rPr>
        <w:t>Identify this mineral using the peak matching software</w:t>
      </w:r>
      <w:r w:rsidRPr="00DD1D5B">
        <w:t xml:space="preserve"> </w:t>
      </w:r>
      <w:r>
        <w:t>Note the lines of different phases that the program suggests and the peaks of your data.  R</w:t>
      </w:r>
      <w:r w:rsidRPr="00DD1D5B">
        <w:t>ecall t</w:t>
      </w:r>
      <w:r>
        <w:t>he color of the unground sample</w:t>
      </w:r>
      <w:r w:rsidRPr="00DD1D5B">
        <w:t>.</w:t>
      </w:r>
      <w:r>
        <w:t xml:space="preserve">  It is a magnesium silicate containing some iron.</w:t>
      </w:r>
    </w:p>
    <w:p w14:paraId="610ABF26" w14:textId="77777777" w:rsidR="005933B6" w:rsidRDefault="005933B6" w:rsidP="005933B6">
      <w:pPr>
        <w:tabs>
          <w:tab w:val="left" w:pos="0"/>
          <w:tab w:val="left" w:pos="360"/>
          <w:tab w:val="left" w:pos="450"/>
          <w:tab w:val="left" w:pos="540"/>
        </w:tabs>
      </w:pPr>
    </w:p>
    <w:p w14:paraId="745401F9" w14:textId="77777777" w:rsidR="005933B6" w:rsidRPr="0028548F" w:rsidRDefault="005933B6" w:rsidP="005933B6">
      <w:pPr>
        <w:numPr>
          <w:ilvl w:val="0"/>
          <w:numId w:val="2"/>
        </w:numPr>
        <w:tabs>
          <w:tab w:val="left" w:pos="0"/>
          <w:tab w:val="left" w:pos="360"/>
          <w:tab w:val="left" w:pos="450"/>
          <w:tab w:val="left" w:pos="540"/>
        </w:tabs>
      </w:pPr>
      <w:r>
        <w:rPr>
          <w:i/>
        </w:rPr>
        <w:t xml:space="preserve">Bulk Rock.  </w:t>
      </w:r>
      <w:r w:rsidRPr="00B27E8B">
        <w:rPr>
          <w:b/>
        </w:rPr>
        <w:t xml:space="preserve">Using the mineral list </w:t>
      </w:r>
      <w:r>
        <w:rPr>
          <w:b/>
        </w:rPr>
        <w:t xml:space="preserve">from your EMPA analyses </w:t>
      </w:r>
      <w:r w:rsidRPr="00B27E8B">
        <w:rPr>
          <w:b/>
        </w:rPr>
        <w:t xml:space="preserve">as an aid, </w:t>
      </w:r>
      <w:r>
        <w:rPr>
          <w:b/>
        </w:rPr>
        <w:t>identify the peaks associated with each mineral</w:t>
      </w:r>
      <w:r w:rsidRPr="00B27E8B">
        <w:rPr>
          <w:b/>
        </w:rPr>
        <w:t>.</w:t>
      </w:r>
      <w:r>
        <w:t xml:space="preserve">  </w:t>
      </w:r>
      <w:r w:rsidRPr="00C5056F">
        <w:rPr>
          <w:b/>
        </w:rPr>
        <w:t>Are there peaks you have not identified?</w:t>
      </w:r>
      <w:r>
        <w:rPr>
          <w:b/>
        </w:rPr>
        <w:t xml:space="preserve">  If so, make an attempt to explain them.</w:t>
      </w:r>
    </w:p>
    <w:p w14:paraId="55DCA03F" w14:textId="77777777" w:rsidR="005933B6" w:rsidRDefault="005933B6" w:rsidP="005933B6">
      <w:pPr>
        <w:tabs>
          <w:tab w:val="left" w:pos="0"/>
          <w:tab w:val="left" w:pos="360"/>
          <w:tab w:val="left" w:pos="450"/>
          <w:tab w:val="left" w:pos="540"/>
        </w:tabs>
      </w:pPr>
    </w:p>
    <w:p w14:paraId="0BFC7538" w14:textId="77777777" w:rsidR="005933B6" w:rsidRPr="001304FD" w:rsidRDefault="005933B6" w:rsidP="005933B6">
      <w:pPr>
        <w:numPr>
          <w:ilvl w:val="0"/>
          <w:numId w:val="2"/>
        </w:numPr>
        <w:tabs>
          <w:tab w:val="left" w:pos="0"/>
          <w:tab w:val="left" w:pos="360"/>
          <w:tab w:val="left" w:pos="450"/>
          <w:tab w:val="left" w:pos="540"/>
        </w:tabs>
        <w:rPr>
          <w:b/>
        </w:rPr>
      </w:pPr>
      <w:r w:rsidRPr="001304FD">
        <w:rPr>
          <w:b/>
        </w:rPr>
        <w:t>In your report, include all the XRD spectra you collected, including your indexed NaCl spectra (ground and unground) from question 1a.</w:t>
      </w:r>
    </w:p>
    <w:p w14:paraId="6F29A122" w14:textId="77777777" w:rsidR="005933B6" w:rsidRDefault="005933B6" w:rsidP="005933B6">
      <w:pPr>
        <w:tabs>
          <w:tab w:val="left" w:pos="0"/>
          <w:tab w:val="left" w:pos="360"/>
          <w:tab w:val="left" w:pos="450"/>
          <w:tab w:val="left" w:pos="540"/>
        </w:tabs>
        <w:rPr>
          <w:b/>
        </w:rPr>
      </w:pPr>
    </w:p>
    <w:p w14:paraId="2B17939B" w14:textId="55576329" w:rsidR="005933B6" w:rsidRPr="001304FD" w:rsidRDefault="005933B6" w:rsidP="005933B6">
      <w:pPr>
        <w:numPr>
          <w:ilvl w:val="0"/>
          <w:numId w:val="2"/>
        </w:numPr>
        <w:tabs>
          <w:tab w:val="left" w:pos="0"/>
          <w:tab w:val="left" w:pos="360"/>
          <w:tab w:val="left" w:pos="450"/>
          <w:tab w:val="left" w:pos="540"/>
        </w:tabs>
        <w:rPr>
          <w:b/>
        </w:rPr>
      </w:pPr>
      <w:r w:rsidRPr="001304FD">
        <w:rPr>
          <w:b/>
        </w:rPr>
        <w:t xml:space="preserve">List the strengths </w:t>
      </w:r>
      <w:r w:rsidR="006F3861">
        <w:rPr>
          <w:b/>
        </w:rPr>
        <w:t xml:space="preserve">(at least 3) </w:t>
      </w:r>
      <w:r w:rsidRPr="001304FD">
        <w:rPr>
          <w:b/>
        </w:rPr>
        <w:t xml:space="preserve">and weaknesses </w:t>
      </w:r>
      <w:r w:rsidR="006F3861">
        <w:rPr>
          <w:b/>
        </w:rPr>
        <w:t xml:space="preserve">(at least 2) </w:t>
      </w:r>
      <w:r w:rsidRPr="001304FD">
        <w:rPr>
          <w:b/>
        </w:rPr>
        <w:t>of X-ray diffraction.</w:t>
      </w:r>
      <w:r>
        <w:rPr>
          <w:b/>
        </w:rPr>
        <w:t xml:space="preserve"> </w:t>
      </w:r>
    </w:p>
    <w:p w14:paraId="42867DB2" w14:textId="77777777" w:rsidR="005933B6" w:rsidRDefault="005933B6" w:rsidP="005933B6">
      <w:pPr>
        <w:tabs>
          <w:tab w:val="left" w:pos="0"/>
          <w:tab w:val="left" w:pos="360"/>
          <w:tab w:val="left" w:pos="450"/>
          <w:tab w:val="left" w:pos="540"/>
        </w:tabs>
      </w:pPr>
    </w:p>
    <w:p w14:paraId="3C90EE14" w14:textId="30B47527" w:rsidR="005933B6" w:rsidRPr="00776E8B" w:rsidRDefault="005933B6" w:rsidP="005933B6">
      <w:pPr>
        <w:tabs>
          <w:tab w:val="left" w:pos="0"/>
          <w:tab w:val="left" w:pos="360"/>
          <w:tab w:val="left" w:pos="450"/>
          <w:tab w:val="left" w:pos="540"/>
        </w:tabs>
      </w:pPr>
      <w:r>
        <w:t xml:space="preserve">Please contact either </w:t>
      </w:r>
      <w:r w:rsidR="001D7618">
        <w:t>Ted Present (tpresent@caltech.edu)</w:t>
      </w:r>
      <w:r>
        <w:t xml:space="preserve"> or Jennifer Jackson (j</w:t>
      </w:r>
      <w:r w:rsidRPr="00B123AE">
        <w:t>ackson@gps.caltech.edu</w:t>
      </w:r>
      <w:r>
        <w:t>) if you have any questions.</w:t>
      </w:r>
    </w:p>
    <w:p w14:paraId="1F0A5BFF" w14:textId="77777777" w:rsidR="005933B6" w:rsidRPr="00752EC8" w:rsidRDefault="005933B6" w:rsidP="005933B6">
      <w:pPr>
        <w:ind w:left="360" w:hanging="360"/>
        <w:rPr>
          <w:b/>
        </w:rPr>
      </w:pPr>
    </w:p>
    <w:p w14:paraId="6B77FA3C" w14:textId="77777777" w:rsidR="005933B6" w:rsidRDefault="005933B6" w:rsidP="005933B6"/>
    <w:p w14:paraId="74C7BD44" w14:textId="77777777" w:rsidR="005933B6" w:rsidRDefault="005933B6" w:rsidP="005933B6">
      <w:r>
        <w:br w:type="page"/>
      </w:r>
    </w:p>
    <w:p w14:paraId="2DB4C214" w14:textId="77777777" w:rsidR="005933B6" w:rsidRDefault="005933B6" w:rsidP="005933B6"/>
    <w:p w14:paraId="0A865428" w14:textId="77777777" w:rsidR="005933B6" w:rsidRDefault="005933B6" w:rsidP="005933B6">
      <w:r>
        <w:rPr>
          <w:noProof/>
        </w:rPr>
        <w:drawing>
          <wp:inline distT="0" distB="0" distL="0" distR="0" wp14:anchorId="4D12618B" wp14:editId="5534F779">
            <wp:extent cx="4572000" cy="1430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2-08 at 12.50.49 PM.png"/>
                    <pic:cNvPicPr/>
                  </pic:nvPicPr>
                  <pic:blipFill>
                    <a:blip r:embed="rId8">
                      <a:extLst>
                        <a:ext uri="{28A0092B-C50C-407E-A947-70E740481C1C}">
                          <a14:useLocalDpi xmlns:a14="http://schemas.microsoft.com/office/drawing/2010/main" val="0"/>
                        </a:ext>
                      </a:extLst>
                    </a:blip>
                    <a:stretch>
                      <a:fillRect/>
                    </a:stretch>
                  </pic:blipFill>
                  <pic:spPr>
                    <a:xfrm>
                      <a:off x="0" y="0"/>
                      <a:ext cx="4572000" cy="1430020"/>
                    </a:xfrm>
                    <a:prstGeom prst="rect">
                      <a:avLst/>
                    </a:prstGeom>
                  </pic:spPr>
                </pic:pic>
              </a:graphicData>
            </a:graphic>
          </wp:inline>
        </w:drawing>
      </w:r>
    </w:p>
    <w:p w14:paraId="5E5742AB" w14:textId="77777777" w:rsidR="005933B6" w:rsidRDefault="005933B6" w:rsidP="005933B6">
      <w:pPr>
        <w:rPr>
          <w:rFonts w:ascii="Symbol" w:hAnsi="Symbol"/>
        </w:rPr>
      </w:pPr>
      <w:r w:rsidRPr="00BC6858">
        <w:rPr>
          <w:b/>
        </w:rPr>
        <w:t>Figure 1.</w:t>
      </w:r>
      <w:r>
        <w:t xml:space="preserve"> Recall that X-rays interact with electric field surrounding the atoms. The movement of the electron cloud re-radiates waves with the same frequency as the X-rays (elastic scattering). Those waves interfere with one another creating constructive and destructive interferences which is the very phenomenon we are going to measure in the x-ray diffraction lab. The nature of this interference can be described by Bragg’s law, which is a kinematic description that states that the interference is constructive when the phase shift is proportional to 2π. This gives the relation n</w:t>
      </w:r>
      <w:r w:rsidRPr="00BC6858">
        <w:rPr>
          <w:rFonts w:ascii="Symbol" w:hAnsi="Symbol"/>
        </w:rPr>
        <w:t></w:t>
      </w:r>
      <w:r>
        <w:t xml:space="preserve"> = 2dsin</w:t>
      </w:r>
      <w:r w:rsidRPr="00BC6858">
        <w:rPr>
          <w:rFonts w:ascii="Symbol" w:hAnsi="Symbol"/>
        </w:rPr>
        <w:t></w:t>
      </w:r>
      <w:r>
        <w:rPr>
          <w:rFonts w:ascii="Symbol" w:hAnsi="Symbol"/>
        </w:rPr>
        <w:t></w:t>
      </w:r>
    </w:p>
    <w:p w14:paraId="54A5868B" w14:textId="77777777" w:rsidR="005933B6" w:rsidRDefault="005933B6" w:rsidP="005933B6">
      <w:pPr>
        <w:rPr>
          <w:rFonts w:ascii="Symbol" w:hAnsi="Symbol"/>
        </w:rPr>
      </w:pPr>
    </w:p>
    <w:p w14:paraId="6D2755F7" w14:textId="77777777" w:rsidR="005933B6" w:rsidRDefault="005933B6" w:rsidP="005933B6">
      <w:pPr>
        <w:rPr>
          <w:rFonts w:ascii="Symbol" w:hAnsi="Symbol"/>
        </w:rPr>
      </w:pPr>
    </w:p>
    <w:p w14:paraId="1919CBE9" w14:textId="77777777" w:rsidR="005933B6" w:rsidRPr="00FC0617" w:rsidRDefault="005933B6" w:rsidP="005933B6">
      <w:r w:rsidRPr="00AF717E">
        <w:rPr>
          <w:b/>
        </w:rPr>
        <w:t>Table 1.</w:t>
      </w:r>
      <w:r>
        <w:t xml:space="preserve"> The first six allowed reflections for NaCl, an </w:t>
      </w:r>
      <w:r w:rsidRPr="005B06E3">
        <w:rPr>
          <w:i/>
        </w:rPr>
        <w:t>fcc</w:t>
      </w:r>
      <w:r>
        <w:t xml:space="preserve"> lattice, listed with increasing 2</w:t>
      </w:r>
      <w:r w:rsidRPr="004E215B">
        <w:rPr>
          <w:rFonts w:ascii="Symbol" w:hAnsi="Symbol"/>
        </w:rPr>
        <w:t></w:t>
      </w:r>
      <w:r>
        <w:rPr>
          <w:rFonts w:ascii="Symbol" w:hAnsi="Symbol"/>
        </w:rPr>
        <w:t></w:t>
      </w:r>
      <w:r>
        <w:rPr>
          <w:rFonts w:ascii="Symbol" w:hAnsi="Symbol"/>
        </w:rPr>
        <w:t></w:t>
      </w:r>
    </w:p>
    <w:tbl>
      <w:tblPr>
        <w:tblStyle w:val="TableGrid"/>
        <w:tblW w:w="9174" w:type="dxa"/>
        <w:tblLook w:val="04A0" w:firstRow="1" w:lastRow="0" w:firstColumn="1" w:lastColumn="0" w:noHBand="0" w:noVBand="1"/>
      </w:tblPr>
      <w:tblGrid>
        <w:gridCol w:w="956"/>
        <w:gridCol w:w="1519"/>
        <w:gridCol w:w="2233"/>
        <w:gridCol w:w="2233"/>
        <w:gridCol w:w="2233"/>
      </w:tblGrid>
      <w:tr w:rsidR="005933B6" w14:paraId="0256BA4B" w14:textId="77777777" w:rsidTr="00014135">
        <w:tc>
          <w:tcPr>
            <w:tcW w:w="956" w:type="dxa"/>
          </w:tcPr>
          <w:p w14:paraId="0DB061C5" w14:textId="77777777" w:rsidR="005933B6" w:rsidRPr="007D3299" w:rsidRDefault="005933B6" w:rsidP="00014135">
            <w:pPr>
              <w:jc w:val="center"/>
              <w:rPr>
                <w:b/>
              </w:rPr>
            </w:pPr>
            <w:r w:rsidRPr="007D3299">
              <w:rPr>
                <w:b/>
              </w:rPr>
              <w:t>(hkl)</w:t>
            </w:r>
          </w:p>
        </w:tc>
        <w:tc>
          <w:tcPr>
            <w:tcW w:w="1519" w:type="dxa"/>
          </w:tcPr>
          <w:p w14:paraId="42A377EA" w14:textId="77777777" w:rsidR="005933B6" w:rsidRDefault="005933B6" w:rsidP="00014135">
            <w:pPr>
              <w:jc w:val="center"/>
              <w:rPr>
                <w:b/>
              </w:rPr>
            </w:pPr>
            <w:r w:rsidRPr="007D3299">
              <w:rPr>
                <w:b/>
              </w:rPr>
              <w:t>Reflection</w:t>
            </w:r>
          </w:p>
          <w:p w14:paraId="143C3270" w14:textId="77777777" w:rsidR="005933B6" w:rsidRPr="007D3299" w:rsidRDefault="005933B6" w:rsidP="00014135">
            <w:pPr>
              <w:jc w:val="center"/>
              <w:rPr>
                <w:b/>
              </w:rPr>
            </w:pPr>
          </w:p>
        </w:tc>
        <w:tc>
          <w:tcPr>
            <w:tcW w:w="2233" w:type="dxa"/>
          </w:tcPr>
          <w:p w14:paraId="6467B1C6" w14:textId="77777777" w:rsidR="005933B6" w:rsidRDefault="005933B6" w:rsidP="00014135">
            <w:pPr>
              <w:jc w:val="center"/>
              <w:rPr>
                <w:rFonts w:ascii="Symbol" w:hAnsi="Symbol"/>
                <w:b/>
              </w:rPr>
            </w:pPr>
            <w:r w:rsidRPr="007D3299">
              <w:rPr>
                <w:b/>
              </w:rPr>
              <w:t>2</w:t>
            </w:r>
            <w:r w:rsidRPr="007D3299">
              <w:rPr>
                <w:rFonts w:ascii="Symbol" w:hAnsi="Symbol"/>
                <w:b/>
              </w:rPr>
              <w:t></w:t>
            </w:r>
          </w:p>
          <w:p w14:paraId="791BF6E2" w14:textId="77777777" w:rsidR="005933B6" w:rsidRPr="00DC4D19" w:rsidRDefault="005933B6" w:rsidP="00014135">
            <w:pPr>
              <w:jc w:val="center"/>
            </w:pPr>
            <w:r w:rsidRPr="00DC4D19">
              <w:t>ground, unground</w:t>
            </w:r>
          </w:p>
        </w:tc>
        <w:tc>
          <w:tcPr>
            <w:tcW w:w="2233" w:type="dxa"/>
          </w:tcPr>
          <w:p w14:paraId="40DB22E7" w14:textId="77777777" w:rsidR="005933B6" w:rsidRDefault="005933B6" w:rsidP="00014135">
            <w:pPr>
              <w:jc w:val="center"/>
              <w:rPr>
                <w:b/>
              </w:rPr>
            </w:pPr>
            <w:r w:rsidRPr="007D3299">
              <w:rPr>
                <w:b/>
              </w:rPr>
              <w:t>d-spacing (Å)</w:t>
            </w:r>
          </w:p>
          <w:p w14:paraId="31D6D9DA" w14:textId="77777777" w:rsidR="005933B6" w:rsidRPr="007D3299" w:rsidRDefault="005933B6" w:rsidP="00014135">
            <w:pPr>
              <w:jc w:val="center"/>
              <w:rPr>
                <w:b/>
              </w:rPr>
            </w:pPr>
            <w:r w:rsidRPr="00DC4D19">
              <w:t>ground, unground</w:t>
            </w:r>
          </w:p>
        </w:tc>
        <w:tc>
          <w:tcPr>
            <w:tcW w:w="2233" w:type="dxa"/>
          </w:tcPr>
          <w:p w14:paraId="1A70432F" w14:textId="77777777" w:rsidR="005933B6" w:rsidRDefault="005933B6" w:rsidP="00014135">
            <w:pPr>
              <w:jc w:val="center"/>
              <w:rPr>
                <w:b/>
              </w:rPr>
            </w:pPr>
            <w:r w:rsidRPr="007D3299">
              <w:rPr>
                <w:b/>
              </w:rPr>
              <w:t>a (Å)</w:t>
            </w:r>
          </w:p>
          <w:p w14:paraId="5FCE2462" w14:textId="77777777" w:rsidR="005933B6" w:rsidRPr="007D3299" w:rsidRDefault="005933B6" w:rsidP="00014135">
            <w:pPr>
              <w:jc w:val="center"/>
              <w:rPr>
                <w:b/>
              </w:rPr>
            </w:pPr>
            <w:r w:rsidRPr="00DC4D19">
              <w:t>ground, unground</w:t>
            </w:r>
          </w:p>
        </w:tc>
      </w:tr>
      <w:tr w:rsidR="005933B6" w14:paraId="2CA261FF" w14:textId="77777777" w:rsidTr="00014135">
        <w:tc>
          <w:tcPr>
            <w:tcW w:w="956" w:type="dxa"/>
          </w:tcPr>
          <w:p w14:paraId="543577EE" w14:textId="77777777" w:rsidR="005933B6" w:rsidRDefault="005933B6" w:rsidP="00014135">
            <w:r>
              <w:t>(111)</w:t>
            </w:r>
          </w:p>
        </w:tc>
        <w:tc>
          <w:tcPr>
            <w:tcW w:w="1519" w:type="dxa"/>
          </w:tcPr>
          <w:p w14:paraId="2246D782" w14:textId="77777777" w:rsidR="005933B6" w:rsidRDefault="005933B6" w:rsidP="00014135">
            <w:r>
              <w:t>Very Weak</w:t>
            </w:r>
          </w:p>
        </w:tc>
        <w:tc>
          <w:tcPr>
            <w:tcW w:w="2233" w:type="dxa"/>
          </w:tcPr>
          <w:p w14:paraId="12C64BE1" w14:textId="77777777" w:rsidR="005933B6" w:rsidRDefault="005933B6" w:rsidP="00014135"/>
        </w:tc>
        <w:tc>
          <w:tcPr>
            <w:tcW w:w="2233" w:type="dxa"/>
          </w:tcPr>
          <w:p w14:paraId="5C59AC50" w14:textId="77777777" w:rsidR="005933B6" w:rsidRDefault="005933B6" w:rsidP="00014135"/>
        </w:tc>
        <w:tc>
          <w:tcPr>
            <w:tcW w:w="2233" w:type="dxa"/>
          </w:tcPr>
          <w:p w14:paraId="77344E07" w14:textId="77777777" w:rsidR="005933B6" w:rsidRDefault="005933B6" w:rsidP="00014135"/>
        </w:tc>
      </w:tr>
      <w:tr w:rsidR="005933B6" w14:paraId="72BB9E42" w14:textId="77777777" w:rsidTr="00014135">
        <w:tc>
          <w:tcPr>
            <w:tcW w:w="956" w:type="dxa"/>
          </w:tcPr>
          <w:p w14:paraId="6C964C6D" w14:textId="77777777" w:rsidR="005933B6" w:rsidRDefault="005933B6" w:rsidP="00014135">
            <w:r>
              <w:t>(200)</w:t>
            </w:r>
          </w:p>
        </w:tc>
        <w:tc>
          <w:tcPr>
            <w:tcW w:w="1519" w:type="dxa"/>
          </w:tcPr>
          <w:p w14:paraId="5CFED4CD" w14:textId="77777777" w:rsidR="005933B6" w:rsidRDefault="005933B6" w:rsidP="00014135">
            <w:r>
              <w:t>Strong</w:t>
            </w:r>
          </w:p>
        </w:tc>
        <w:tc>
          <w:tcPr>
            <w:tcW w:w="2233" w:type="dxa"/>
          </w:tcPr>
          <w:p w14:paraId="3736A932" w14:textId="77777777" w:rsidR="005933B6" w:rsidRDefault="005933B6" w:rsidP="00014135"/>
        </w:tc>
        <w:tc>
          <w:tcPr>
            <w:tcW w:w="2233" w:type="dxa"/>
          </w:tcPr>
          <w:p w14:paraId="4705AC25" w14:textId="77777777" w:rsidR="005933B6" w:rsidRDefault="005933B6" w:rsidP="00014135"/>
        </w:tc>
        <w:tc>
          <w:tcPr>
            <w:tcW w:w="2233" w:type="dxa"/>
          </w:tcPr>
          <w:p w14:paraId="3FA9DE22" w14:textId="77777777" w:rsidR="005933B6" w:rsidRDefault="005933B6" w:rsidP="00014135"/>
        </w:tc>
      </w:tr>
      <w:tr w:rsidR="005933B6" w14:paraId="617358E9" w14:textId="77777777" w:rsidTr="00014135">
        <w:tc>
          <w:tcPr>
            <w:tcW w:w="956" w:type="dxa"/>
          </w:tcPr>
          <w:p w14:paraId="22B33700" w14:textId="77777777" w:rsidR="005933B6" w:rsidRDefault="005933B6" w:rsidP="00014135">
            <w:r>
              <w:t>(220)</w:t>
            </w:r>
          </w:p>
        </w:tc>
        <w:tc>
          <w:tcPr>
            <w:tcW w:w="1519" w:type="dxa"/>
          </w:tcPr>
          <w:p w14:paraId="5051B991" w14:textId="77777777" w:rsidR="005933B6" w:rsidRDefault="005933B6" w:rsidP="00014135">
            <w:r>
              <w:t>Strong</w:t>
            </w:r>
          </w:p>
        </w:tc>
        <w:tc>
          <w:tcPr>
            <w:tcW w:w="2233" w:type="dxa"/>
          </w:tcPr>
          <w:p w14:paraId="6A48BCDA" w14:textId="77777777" w:rsidR="005933B6" w:rsidRDefault="005933B6" w:rsidP="00014135"/>
        </w:tc>
        <w:tc>
          <w:tcPr>
            <w:tcW w:w="2233" w:type="dxa"/>
          </w:tcPr>
          <w:p w14:paraId="0381D47C" w14:textId="77777777" w:rsidR="005933B6" w:rsidRDefault="005933B6" w:rsidP="00014135"/>
        </w:tc>
        <w:tc>
          <w:tcPr>
            <w:tcW w:w="2233" w:type="dxa"/>
          </w:tcPr>
          <w:p w14:paraId="26C151FF" w14:textId="77777777" w:rsidR="005933B6" w:rsidRDefault="005933B6" w:rsidP="00014135"/>
        </w:tc>
      </w:tr>
      <w:tr w:rsidR="005933B6" w14:paraId="4EE11DC9" w14:textId="77777777" w:rsidTr="00014135">
        <w:tc>
          <w:tcPr>
            <w:tcW w:w="956" w:type="dxa"/>
          </w:tcPr>
          <w:p w14:paraId="2126C21B" w14:textId="77777777" w:rsidR="005933B6" w:rsidRDefault="005933B6" w:rsidP="00014135">
            <w:r>
              <w:t>(311)</w:t>
            </w:r>
          </w:p>
        </w:tc>
        <w:tc>
          <w:tcPr>
            <w:tcW w:w="1519" w:type="dxa"/>
          </w:tcPr>
          <w:p w14:paraId="66F14904" w14:textId="77777777" w:rsidR="005933B6" w:rsidRDefault="005933B6" w:rsidP="00014135">
            <w:r>
              <w:t>Weak</w:t>
            </w:r>
          </w:p>
        </w:tc>
        <w:tc>
          <w:tcPr>
            <w:tcW w:w="2233" w:type="dxa"/>
          </w:tcPr>
          <w:p w14:paraId="518B1C08" w14:textId="77777777" w:rsidR="005933B6" w:rsidRDefault="005933B6" w:rsidP="00014135"/>
        </w:tc>
        <w:tc>
          <w:tcPr>
            <w:tcW w:w="2233" w:type="dxa"/>
          </w:tcPr>
          <w:p w14:paraId="60BF493A" w14:textId="77777777" w:rsidR="005933B6" w:rsidRDefault="005933B6" w:rsidP="00014135"/>
        </w:tc>
        <w:tc>
          <w:tcPr>
            <w:tcW w:w="2233" w:type="dxa"/>
          </w:tcPr>
          <w:p w14:paraId="25692C9C" w14:textId="77777777" w:rsidR="005933B6" w:rsidRDefault="005933B6" w:rsidP="00014135"/>
        </w:tc>
      </w:tr>
      <w:tr w:rsidR="005933B6" w14:paraId="696B1811" w14:textId="77777777" w:rsidTr="00014135">
        <w:tc>
          <w:tcPr>
            <w:tcW w:w="956" w:type="dxa"/>
          </w:tcPr>
          <w:p w14:paraId="2D407BF1" w14:textId="77777777" w:rsidR="005933B6" w:rsidRDefault="005933B6" w:rsidP="00014135">
            <w:r>
              <w:t>(222)</w:t>
            </w:r>
          </w:p>
        </w:tc>
        <w:tc>
          <w:tcPr>
            <w:tcW w:w="1519" w:type="dxa"/>
          </w:tcPr>
          <w:p w14:paraId="1DDF90D0" w14:textId="77777777" w:rsidR="005933B6" w:rsidRDefault="005933B6" w:rsidP="00014135">
            <w:r>
              <w:t>Strong</w:t>
            </w:r>
          </w:p>
        </w:tc>
        <w:tc>
          <w:tcPr>
            <w:tcW w:w="2233" w:type="dxa"/>
          </w:tcPr>
          <w:p w14:paraId="24C3413F" w14:textId="77777777" w:rsidR="005933B6" w:rsidRDefault="005933B6" w:rsidP="00014135"/>
        </w:tc>
        <w:tc>
          <w:tcPr>
            <w:tcW w:w="2233" w:type="dxa"/>
          </w:tcPr>
          <w:p w14:paraId="71AAE4E0" w14:textId="77777777" w:rsidR="005933B6" w:rsidRDefault="005933B6" w:rsidP="00014135"/>
        </w:tc>
        <w:tc>
          <w:tcPr>
            <w:tcW w:w="2233" w:type="dxa"/>
          </w:tcPr>
          <w:p w14:paraId="441B6128" w14:textId="77777777" w:rsidR="005933B6" w:rsidRDefault="005933B6" w:rsidP="00014135"/>
        </w:tc>
      </w:tr>
      <w:tr w:rsidR="005933B6" w14:paraId="15EB543C" w14:textId="77777777" w:rsidTr="00014135">
        <w:tc>
          <w:tcPr>
            <w:tcW w:w="956" w:type="dxa"/>
          </w:tcPr>
          <w:p w14:paraId="4C872A87" w14:textId="77777777" w:rsidR="005933B6" w:rsidRDefault="005933B6" w:rsidP="00014135">
            <w:r>
              <w:t>(400)</w:t>
            </w:r>
          </w:p>
        </w:tc>
        <w:tc>
          <w:tcPr>
            <w:tcW w:w="1519" w:type="dxa"/>
          </w:tcPr>
          <w:p w14:paraId="78775B86" w14:textId="77777777" w:rsidR="005933B6" w:rsidRDefault="005933B6" w:rsidP="00014135">
            <w:r>
              <w:t>Strong</w:t>
            </w:r>
          </w:p>
        </w:tc>
        <w:tc>
          <w:tcPr>
            <w:tcW w:w="2233" w:type="dxa"/>
          </w:tcPr>
          <w:p w14:paraId="15FF25C2" w14:textId="77777777" w:rsidR="005933B6" w:rsidRDefault="005933B6" w:rsidP="00014135"/>
        </w:tc>
        <w:tc>
          <w:tcPr>
            <w:tcW w:w="2233" w:type="dxa"/>
          </w:tcPr>
          <w:p w14:paraId="7858438A" w14:textId="77777777" w:rsidR="005933B6" w:rsidRDefault="005933B6" w:rsidP="00014135"/>
        </w:tc>
        <w:tc>
          <w:tcPr>
            <w:tcW w:w="2233" w:type="dxa"/>
          </w:tcPr>
          <w:p w14:paraId="6D23EA95" w14:textId="77777777" w:rsidR="005933B6" w:rsidRDefault="005933B6" w:rsidP="00014135"/>
        </w:tc>
      </w:tr>
    </w:tbl>
    <w:p w14:paraId="000B5040" w14:textId="77777777" w:rsidR="005933B6" w:rsidRPr="007B482B" w:rsidRDefault="005933B6" w:rsidP="005933B6"/>
    <w:p w14:paraId="73B7D162" w14:textId="6DE88559" w:rsidR="005933B6" w:rsidRPr="00752EC8" w:rsidRDefault="005933B6" w:rsidP="001657BD">
      <w:pPr>
        <w:rPr>
          <w:b/>
        </w:rPr>
      </w:pPr>
    </w:p>
    <w:sectPr w:rsidR="005933B6" w:rsidRPr="00752EC8" w:rsidSect="00A91D6A">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6261" w14:textId="77777777" w:rsidR="00014135" w:rsidRDefault="00014135">
      <w:r>
        <w:separator/>
      </w:r>
    </w:p>
  </w:endnote>
  <w:endnote w:type="continuationSeparator" w:id="0">
    <w:p w14:paraId="331161B7" w14:textId="77777777" w:rsidR="00014135" w:rsidRDefault="0001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164C1" w14:textId="77777777" w:rsidR="00014135" w:rsidRDefault="00014135" w:rsidP="00113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30AAB" w14:textId="77777777" w:rsidR="00014135" w:rsidRDefault="00014135" w:rsidP="00113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AFC1" w14:textId="77777777" w:rsidR="00014135" w:rsidRDefault="00014135" w:rsidP="00113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FAA">
      <w:rPr>
        <w:rStyle w:val="PageNumber"/>
        <w:noProof/>
      </w:rPr>
      <w:t>1</w:t>
    </w:r>
    <w:r>
      <w:rPr>
        <w:rStyle w:val="PageNumber"/>
      </w:rPr>
      <w:fldChar w:fldCharType="end"/>
    </w:r>
  </w:p>
  <w:p w14:paraId="2DDF7401" w14:textId="77777777" w:rsidR="00014135" w:rsidRDefault="00014135" w:rsidP="001139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77BB2" w14:textId="77777777" w:rsidR="00014135" w:rsidRDefault="00014135">
      <w:r>
        <w:separator/>
      </w:r>
    </w:p>
  </w:footnote>
  <w:footnote w:type="continuationSeparator" w:id="0">
    <w:p w14:paraId="5E38CD3A" w14:textId="77777777" w:rsidR="00014135" w:rsidRDefault="00014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66E9A"/>
    <w:multiLevelType w:val="hybridMultilevel"/>
    <w:tmpl w:val="13F29B0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E54D3"/>
    <w:multiLevelType w:val="hybridMultilevel"/>
    <w:tmpl w:val="6BDC5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A"/>
    <w:rsid w:val="00014135"/>
    <w:rsid w:val="000B20D4"/>
    <w:rsid w:val="00111F2F"/>
    <w:rsid w:val="001139AB"/>
    <w:rsid w:val="00126C81"/>
    <w:rsid w:val="001657BD"/>
    <w:rsid w:val="001D7618"/>
    <w:rsid w:val="00245870"/>
    <w:rsid w:val="002B2179"/>
    <w:rsid w:val="003B2DD1"/>
    <w:rsid w:val="00440C60"/>
    <w:rsid w:val="004962FF"/>
    <w:rsid w:val="005933B6"/>
    <w:rsid w:val="006F3861"/>
    <w:rsid w:val="00855FDF"/>
    <w:rsid w:val="008A445B"/>
    <w:rsid w:val="009054F0"/>
    <w:rsid w:val="00981660"/>
    <w:rsid w:val="00993FAA"/>
    <w:rsid w:val="009D67D5"/>
    <w:rsid w:val="00A66A24"/>
    <w:rsid w:val="00A91D6A"/>
    <w:rsid w:val="00B1139C"/>
    <w:rsid w:val="00B62688"/>
    <w:rsid w:val="00B8193A"/>
    <w:rsid w:val="00C20037"/>
    <w:rsid w:val="00C46ABE"/>
    <w:rsid w:val="00C66F2E"/>
    <w:rsid w:val="00D530D3"/>
    <w:rsid w:val="00EC7F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CB8D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3A"/>
    <w:pPr>
      <w:ind w:left="720"/>
      <w:contextualSpacing/>
    </w:pPr>
  </w:style>
  <w:style w:type="character" w:styleId="Hyperlink">
    <w:name w:val="Hyperlink"/>
    <w:basedOn w:val="DefaultParagraphFont"/>
    <w:uiPriority w:val="99"/>
    <w:semiHidden/>
    <w:unhideWhenUsed/>
    <w:rsid w:val="005A0028"/>
    <w:rPr>
      <w:color w:val="0000FF"/>
      <w:u w:val="single"/>
    </w:rPr>
  </w:style>
  <w:style w:type="paragraph" w:styleId="Footer">
    <w:name w:val="footer"/>
    <w:basedOn w:val="Normal"/>
    <w:link w:val="FooterChar"/>
    <w:uiPriority w:val="99"/>
    <w:semiHidden/>
    <w:unhideWhenUsed/>
    <w:rsid w:val="005F449F"/>
    <w:pPr>
      <w:tabs>
        <w:tab w:val="center" w:pos="4320"/>
        <w:tab w:val="right" w:pos="8640"/>
      </w:tabs>
    </w:pPr>
  </w:style>
  <w:style w:type="character" w:customStyle="1" w:styleId="FooterChar">
    <w:name w:val="Footer Char"/>
    <w:basedOn w:val="DefaultParagraphFont"/>
    <w:link w:val="Footer"/>
    <w:uiPriority w:val="99"/>
    <w:semiHidden/>
    <w:rsid w:val="005F449F"/>
    <w:rPr>
      <w:sz w:val="24"/>
      <w:szCs w:val="24"/>
    </w:rPr>
  </w:style>
  <w:style w:type="character" w:styleId="PageNumber">
    <w:name w:val="page number"/>
    <w:basedOn w:val="DefaultParagraphFont"/>
    <w:uiPriority w:val="99"/>
    <w:semiHidden/>
    <w:unhideWhenUsed/>
    <w:rsid w:val="005F449F"/>
  </w:style>
  <w:style w:type="table" w:styleId="TableGrid">
    <w:name w:val="Table Grid"/>
    <w:basedOn w:val="TableNormal"/>
    <w:uiPriority w:val="59"/>
    <w:rsid w:val="003B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3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6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3A"/>
    <w:pPr>
      <w:ind w:left="720"/>
      <w:contextualSpacing/>
    </w:pPr>
  </w:style>
  <w:style w:type="character" w:styleId="Hyperlink">
    <w:name w:val="Hyperlink"/>
    <w:basedOn w:val="DefaultParagraphFont"/>
    <w:uiPriority w:val="99"/>
    <w:semiHidden/>
    <w:unhideWhenUsed/>
    <w:rsid w:val="005A0028"/>
    <w:rPr>
      <w:color w:val="0000FF"/>
      <w:u w:val="single"/>
    </w:rPr>
  </w:style>
  <w:style w:type="paragraph" w:styleId="Footer">
    <w:name w:val="footer"/>
    <w:basedOn w:val="Normal"/>
    <w:link w:val="FooterChar"/>
    <w:uiPriority w:val="99"/>
    <w:semiHidden/>
    <w:unhideWhenUsed/>
    <w:rsid w:val="005F449F"/>
    <w:pPr>
      <w:tabs>
        <w:tab w:val="center" w:pos="4320"/>
        <w:tab w:val="right" w:pos="8640"/>
      </w:tabs>
    </w:pPr>
  </w:style>
  <w:style w:type="character" w:customStyle="1" w:styleId="FooterChar">
    <w:name w:val="Footer Char"/>
    <w:basedOn w:val="DefaultParagraphFont"/>
    <w:link w:val="Footer"/>
    <w:uiPriority w:val="99"/>
    <w:semiHidden/>
    <w:rsid w:val="005F449F"/>
    <w:rPr>
      <w:sz w:val="24"/>
      <w:szCs w:val="24"/>
    </w:rPr>
  </w:style>
  <w:style w:type="character" w:styleId="PageNumber">
    <w:name w:val="page number"/>
    <w:basedOn w:val="DefaultParagraphFont"/>
    <w:uiPriority w:val="99"/>
    <w:semiHidden/>
    <w:unhideWhenUsed/>
    <w:rsid w:val="005F449F"/>
  </w:style>
  <w:style w:type="table" w:styleId="TableGrid">
    <w:name w:val="Table Grid"/>
    <w:basedOn w:val="TableNormal"/>
    <w:uiPriority w:val="59"/>
    <w:rsid w:val="003B2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33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956</Words>
  <Characters>5450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Institute of Technology</Company>
  <LinksUpToDate>false</LinksUpToDate>
  <CharactersWithSpaces>6394</CharactersWithSpaces>
  <SharedDoc>false</SharedDoc>
  <HLinks>
    <vt:vector size="6" baseType="variant">
      <vt:variant>
        <vt:i4>327685</vt:i4>
      </vt:variant>
      <vt:variant>
        <vt:i4>0</vt:i4>
      </vt:variant>
      <vt:variant>
        <vt:i4>0</vt:i4>
      </vt:variant>
      <vt:variant>
        <vt:i4>5</vt:i4>
      </vt:variant>
      <vt:variant>
        <vt:lpwstr>http://www.ccp14.ac.uk/tutorial/lmgp/celrefc.htm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Wicks</dc:creator>
  <cp:keywords/>
  <cp:lastModifiedBy>Jennifer M. Jackson</cp:lastModifiedBy>
  <cp:revision>7</cp:revision>
  <cp:lastPrinted>2013-03-05T21:03:00Z</cp:lastPrinted>
  <dcterms:created xsi:type="dcterms:W3CDTF">2013-03-05T20:47:00Z</dcterms:created>
  <dcterms:modified xsi:type="dcterms:W3CDTF">2013-03-05T22:06:00Z</dcterms:modified>
</cp:coreProperties>
</file>